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42E31">
      <w:pPr>
        <w:pStyle w:val="13"/>
        <w:spacing w:before="120" w:beforeAutospacing="0" w:after="120" w:afterAutospacing="0" w:line="360" w:lineRule="auto"/>
        <w:ind w:firstLine="960" w:firstLineChars="400"/>
        <w:rPr>
          <w:color w:val="auto"/>
          <w:highlight w:val="none"/>
        </w:rPr>
      </w:pPr>
      <w:r>
        <w:rPr>
          <w:color w:val="auto"/>
          <w:highlight w:val="none"/>
        </w:rPr>
        <w:t> </w:t>
      </w:r>
    </w:p>
    <w:p w14:paraId="4A252210">
      <w:pPr>
        <w:pStyle w:val="13"/>
        <w:spacing w:before="120" w:beforeAutospacing="0" w:after="120" w:afterAutospacing="0" w:line="360" w:lineRule="auto"/>
        <w:rPr>
          <w:color w:val="auto"/>
          <w:highlight w:val="none"/>
        </w:rPr>
      </w:pPr>
    </w:p>
    <w:p w14:paraId="3DD69D58">
      <w:pPr>
        <w:pStyle w:val="13"/>
        <w:spacing w:before="120" w:beforeAutospacing="0" w:after="120" w:afterAutospacing="0" w:line="360" w:lineRule="auto"/>
        <w:rPr>
          <w:color w:val="auto"/>
          <w:highlight w:val="none"/>
        </w:rPr>
      </w:pPr>
    </w:p>
    <w:p w14:paraId="079760C9">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17FF1B64">
      <w:pPr>
        <w:pStyle w:val="13"/>
        <w:spacing w:before="120" w:beforeAutospacing="0" w:after="120" w:afterAutospacing="0" w:line="360" w:lineRule="auto"/>
        <w:ind w:firstLine="643"/>
        <w:rPr>
          <w:rFonts w:ascii="Arial" w:hAnsi="Arial" w:cs="Arial"/>
          <w:b/>
          <w:color w:val="auto"/>
          <w:sz w:val="32"/>
          <w:szCs w:val="32"/>
          <w:highlight w:val="none"/>
        </w:rPr>
      </w:pPr>
    </w:p>
    <w:p w14:paraId="0088AA62">
      <w:pPr>
        <w:pStyle w:val="13"/>
        <w:spacing w:before="120" w:beforeAutospacing="0" w:after="120" w:afterAutospacing="0" w:line="360" w:lineRule="auto"/>
        <w:ind w:firstLine="643"/>
        <w:rPr>
          <w:rFonts w:hint="eastAsia" w:eastAsia="宋体"/>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江苏省东台中等专业学校大数据与财务管理实训中心项目（第二次）</w:t>
      </w:r>
    </w:p>
    <w:p w14:paraId="0C6B19F6">
      <w:pPr>
        <w:pStyle w:val="13"/>
        <w:spacing w:beforeAutospacing="0" w:afterAutospacing="0"/>
        <w:ind w:firstLine="643"/>
        <w:rPr>
          <w:rFonts w:hint="eastAsia" w:eastAsiaTheme="minorEastAsia"/>
          <w:color w:val="auto"/>
          <w:highlight w:val="none"/>
          <w:lang w:val="en-US"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lang w:eastAsia="zh-CN"/>
        </w:rPr>
        <w:t>JSZC-320981-CCGC-G2025-0054</w:t>
      </w:r>
    </w:p>
    <w:p w14:paraId="48280549">
      <w:pPr>
        <w:pStyle w:val="13"/>
        <w:spacing w:beforeAutospacing="0" w:afterAutospacing="0" w:line="360" w:lineRule="auto"/>
        <w:rPr>
          <w:color w:val="auto"/>
          <w:highlight w:val="none"/>
        </w:rPr>
      </w:pPr>
      <w:r>
        <w:rPr>
          <w:color w:val="auto"/>
          <w:highlight w:val="none"/>
        </w:rPr>
        <w:t> </w:t>
      </w:r>
    </w:p>
    <w:p w14:paraId="5E5E515F">
      <w:pPr>
        <w:pStyle w:val="13"/>
        <w:spacing w:beforeAutospacing="0" w:afterAutospacing="0" w:line="360" w:lineRule="auto"/>
        <w:rPr>
          <w:color w:val="auto"/>
          <w:highlight w:val="none"/>
        </w:rPr>
      </w:pPr>
      <w:r>
        <w:rPr>
          <w:color w:val="auto"/>
          <w:highlight w:val="none"/>
        </w:rPr>
        <w:t> </w:t>
      </w:r>
    </w:p>
    <w:p w14:paraId="04851520">
      <w:pPr>
        <w:pStyle w:val="13"/>
        <w:spacing w:beforeAutospacing="0" w:afterAutospacing="0" w:line="360" w:lineRule="auto"/>
        <w:rPr>
          <w:color w:val="auto"/>
          <w:highlight w:val="none"/>
        </w:rPr>
      </w:pPr>
      <w:r>
        <w:rPr>
          <w:color w:val="auto"/>
          <w:highlight w:val="none"/>
        </w:rPr>
        <w:t> </w:t>
      </w:r>
    </w:p>
    <w:p w14:paraId="7ECD62DE">
      <w:pPr>
        <w:pStyle w:val="13"/>
        <w:spacing w:beforeAutospacing="0" w:afterAutospacing="0" w:line="360" w:lineRule="auto"/>
        <w:rPr>
          <w:color w:val="auto"/>
          <w:highlight w:val="none"/>
        </w:rPr>
      </w:pPr>
      <w:r>
        <w:rPr>
          <w:color w:val="auto"/>
          <w:highlight w:val="none"/>
        </w:rPr>
        <w:t>  </w:t>
      </w:r>
    </w:p>
    <w:p w14:paraId="3564C598">
      <w:pPr>
        <w:pStyle w:val="13"/>
        <w:spacing w:beforeAutospacing="0" w:afterAutospacing="0" w:line="360" w:lineRule="auto"/>
        <w:rPr>
          <w:color w:val="auto"/>
          <w:highlight w:val="none"/>
        </w:rPr>
      </w:pPr>
      <w:r>
        <w:rPr>
          <w:color w:val="auto"/>
          <w:highlight w:val="none"/>
        </w:rPr>
        <w:t> </w:t>
      </w:r>
    </w:p>
    <w:p w14:paraId="3F3BD944">
      <w:pPr>
        <w:pStyle w:val="13"/>
        <w:spacing w:beforeAutospacing="0" w:afterAutospacing="0" w:line="360" w:lineRule="auto"/>
        <w:rPr>
          <w:color w:val="auto"/>
          <w:highlight w:val="none"/>
        </w:rPr>
      </w:pPr>
    </w:p>
    <w:p w14:paraId="30EB6435">
      <w:pPr>
        <w:pStyle w:val="13"/>
        <w:widowControl/>
        <w:spacing w:before="120" w:beforeAutospacing="0" w:after="120" w:afterAutospacing="0" w:line="360" w:lineRule="auto"/>
        <w:ind w:firstLine="1285" w:firstLineChars="400"/>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采购单位：</w:t>
      </w:r>
      <w:r>
        <w:rPr>
          <w:rFonts w:hint="eastAsia" w:ascii="Arial" w:hAnsi="Arial" w:eastAsia="宋体" w:cs="Arial"/>
          <w:b/>
          <w:color w:val="auto"/>
          <w:sz w:val="32"/>
          <w:szCs w:val="32"/>
          <w:highlight w:val="none"/>
          <w:lang w:eastAsia="zh-CN"/>
        </w:rPr>
        <w:t>江苏省东台中等专业学校</w:t>
      </w:r>
    </w:p>
    <w:p w14:paraId="415F89F3">
      <w:pPr>
        <w:pStyle w:val="13"/>
        <w:widowControl/>
        <w:spacing w:before="120" w:beforeAutospacing="0" w:after="120" w:afterAutospacing="0" w:line="360" w:lineRule="auto"/>
        <w:ind w:firstLine="1285" w:firstLineChars="400"/>
        <w:jc w:val="both"/>
        <w:rPr>
          <w:rFonts w:ascii="Arial" w:hAnsi="Arial" w:eastAsia="宋体" w:cs="Arial"/>
          <w:b/>
          <w:color w:val="auto"/>
          <w:sz w:val="32"/>
          <w:szCs w:val="32"/>
          <w:highlight w:val="none"/>
        </w:rPr>
      </w:pPr>
    </w:p>
    <w:p w14:paraId="782F02AC">
      <w:pPr>
        <w:pStyle w:val="13"/>
        <w:widowControl/>
        <w:spacing w:before="120" w:beforeAutospacing="0" w:after="120" w:afterAutospacing="0" w:line="360" w:lineRule="auto"/>
        <w:ind w:firstLine="1285" w:firstLineChars="400"/>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采购代理机构：</w:t>
      </w:r>
      <w:r>
        <w:rPr>
          <w:rFonts w:hint="eastAsia" w:ascii="Arial" w:hAnsi="Arial" w:eastAsia="宋体" w:cs="Arial"/>
          <w:b/>
          <w:color w:val="auto"/>
          <w:sz w:val="32"/>
          <w:szCs w:val="32"/>
          <w:highlight w:val="none"/>
          <w:lang w:eastAsia="zh-CN"/>
        </w:rPr>
        <w:t>江苏策诚工程咨询有限公司</w:t>
      </w:r>
    </w:p>
    <w:p w14:paraId="68F7B780">
      <w:pPr>
        <w:pStyle w:val="13"/>
        <w:spacing w:before="120" w:beforeAutospacing="0" w:after="120" w:afterAutospacing="0" w:line="360" w:lineRule="auto"/>
        <w:jc w:val="center"/>
        <w:rPr>
          <w:rFonts w:ascii="Arial" w:hAnsi="Arial" w:cs="Arial"/>
          <w:b/>
          <w:color w:val="auto"/>
          <w:sz w:val="32"/>
          <w:szCs w:val="32"/>
          <w:highlight w:val="none"/>
        </w:rPr>
      </w:pPr>
    </w:p>
    <w:p w14:paraId="247432FC">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eastAsia="zh-CN"/>
        </w:rPr>
        <w:t>2025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11</w:t>
      </w:r>
      <w:r>
        <w:rPr>
          <w:rFonts w:ascii="Arial" w:hAnsi="Arial" w:cs="Arial"/>
          <w:b/>
          <w:color w:val="auto"/>
          <w:sz w:val="32"/>
          <w:szCs w:val="32"/>
          <w:highlight w:val="none"/>
        </w:rPr>
        <w:t>月</w:t>
      </w:r>
      <w:r>
        <w:rPr>
          <w:rFonts w:hint="eastAsia" w:ascii="Arial" w:hAnsi="Arial" w:cs="Arial"/>
          <w:b/>
          <w:color w:val="auto"/>
          <w:sz w:val="32"/>
          <w:szCs w:val="32"/>
          <w:highlight w:val="none"/>
          <w:lang w:val="en-US" w:eastAsia="zh-CN"/>
        </w:rPr>
        <w:t>13</w:t>
      </w:r>
      <w:r>
        <w:rPr>
          <w:rFonts w:ascii="Arial" w:hAnsi="Arial" w:cs="Arial"/>
          <w:b/>
          <w:color w:val="auto"/>
          <w:sz w:val="32"/>
          <w:szCs w:val="32"/>
          <w:highlight w:val="none"/>
        </w:rPr>
        <w:t>日</w:t>
      </w:r>
    </w:p>
    <w:p w14:paraId="2EFE5468">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1E290439">
      <w:pPr>
        <w:pStyle w:val="13"/>
        <w:spacing w:before="120" w:beforeAutospacing="0" w:after="120" w:afterAutospacing="0" w:line="360" w:lineRule="auto"/>
        <w:jc w:val="center"/>
        <w:rPr>
          <w:color w:val="auto"/>
          <w:highlight w:val="none"/>
        </w:rPr>
      </w:pPr>
      <w:r>
        <w:rPr>
          <w:color w:val="auto"/>
          <w:highlight w:val="none"/>
        </w:rPr>
        <w:t> </w:t>
      </w:r>
    </w:p>
    <w:p w14:paraId="7CADE311">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20614210"/>
      <w:bookmarkStart w:id="1" w:name="_Toc523127445"/>
      <w:bookmarkStart w:id="2" w:name="_Toc479757206"/>
      <w:bookmarkStart w:id="3" w:name="_Toc513029200"/>
      <w:bookmarkStart w:id="4" w:name="_Toc20823272"/>
      <w:bookmarkStart w:id="5" w:name="_Toc1693851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6A8E6995">
      <w:pPr>
        <w:pStyle w:val="13"/>
        <w:spacing w:beforeAutospacing="0" w:afterAutospacing="0" w:line="480" w:lineRule="auto"/>
        <w:jc w:val="both"/>
        <w:rPr>
          <w:color w:val="auto"/>
          <w:highlight w:val="none"/>
        </w:rPr>
      </w:pPr>
      <w:r>
        <w:rPr>
          <w:color w:val="auto"/>
          <w:highlight w:val="none"/>
        </w:rPr>
        <w:t> </w:t>
      </w:r>
    </w:p>
    <w:p w14:paraId="1AF74BBC">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 xml:space="preserve">…………………………………… </w:t>
      </w:r>
    </w:p>
    <w:p w14:paraId="217281A2">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7528E45C">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p>
    <w:p w14:paraId="00124B2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74CC0854">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评标方法与评标标准………………………</w:t>
      </w:r>
    </w:p>
    <w:p w14:paraId="58D73A3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投标文件格式………………………………</w:t>
      </w:r>
    </w:p>
    <w:p w14:paraId="348B8044">
      <w:pPr>
        <w:pStyle w:val="13"/>
        <w:spacing w:beforeAutospacing="0" w:afterAutospacing="0"/>
        <w:jc w:val="both"/>
        <w:rPr>
          <w:color w:val="auto"/>
          <w:highlight w:val="none"/>
        </w:rPr>
      </w:pPr>
      <w:r>
        <w:rPr>
          <w:color w:val="auto"/>
          <w:highlight w:val="none"/>
        </w:rPr>
        <w:t> </w:t>
      </w:r>
    </w:p>
    <w:p w14:paraId="29AD2710">
      <w:pPr>
        <w:pStyle w:val="13"/>
        <w:spacing w:beforeAutospacing="0" w:afterAutospacing="0"/>
        <w:jc w:val="both"/>
        <w:rPr>
          <w:color w:val="auto"/>
          <w:highlight w:val="none"/>
        </w:rPr>
      </w:pPr>
      <w:r>
        <w:rPr>
          <w:color w:val="auto"/>
          <w:highlight w:val="none"/>
        </w:rPr>
        <w:t> </w:t>
      </w:r>
    </w:p>
    <w:p w14:paraId="5B7982AA">
      <w:pPr>
        <w:rPr>
          <w:rFonts w:hint="eastAsia" w:ascii="黑体" w:hAnsi="宋体" w:eastAsia="黑体" w:cs="黑体"/>
          <w:color w:val="auto"/>
          <w:sz w:val="44"/>
          <w:szCs w:val="44"/>
          <w:highlight w:val="none"/>
        </w:rPr>
      </w:pPr>
      <w:bookmarkStart w:id="6" w:name="_Toc28359086"/>
      <w:r>
        <w:rPr>
          <w:rFonts w:hint="eastAsia" w:ascii="黑体" w:hAnsi="宋体" w:eastAsia="黑体" w:cs="黑体"/>
          <w:color w:val="auto"/>
          <w:sz w:val="44"/>
          <w:szCs w:val="44"/>
          <w:highlight w:val="none"/>
        </w:rPr>
        <w:br w:type="page"/>
      </w:r>
    </w:p>
    <w:p w14:paraId="4F7B369A">
      <w:pPr>
        <w:pStyle w:val="13"/>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0E5DB6FE">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89D3291">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江苏省东台中等专业学校大数据与财务管理实训中心项目（第二次）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JSZC-320981-CCGC-G2025-0054</w:t>
      </w:r>
      <w:r>
        <w:rPr>
          <w:rFonts w:hint="eastAsia" w:ascii="宋体" w:hAnsi="宋体" w:eastAsia="宋体" w:cs="宋体"/>
          <w:color w:val="auto"/>
          <w:sz w:val="24"/>
          <w:szCs w:val="24"/>
          <w:highlight w:val="none"/>
        </w:rPr>
        <w:t>招标项目的潜在投标人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，并于2025-</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04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p w14:paraId="26477BC8">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7" w:name="_Toc28359079"/>
      <w:bookmarkStart w:id="8" w:name="_Toc28359002"/>
      <w:bookmarkStart w:id="9" w:name="_Toc35393621"/>
      <w:bookmarkStart w:id="10" w:name="_Hlk24379207"/>
      <w:bookmarkStart w:id="11" w:name="_Toc38985263"/>
      <w:bookmarkStart w:id="12" w:name="_Toc35393790"/>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4660E192">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项目编号：</w:t>
      </w:r>
      <w:r>
        <w:rPr>
          <w:rFonts w:hint="eastAsia" w:ascii="宋体" w:hAnsi="宋体" w:eastAsia="宋体" w:cs="宋体"/>
          <w:color w:val="auto"/>
          <w:sz w:val="24"/>
          <w:szCs w:val="24"/>
          <w:highlight w:val="none"/>
          <w:u w:val="none"/>
          <w:lang w:eastAsia="zh-CN"/>
        </w:rPr>
        <w:t>JSZC-320981-CCGC-G2025-0054</w:t>
      </w:r>
    </w:p>
    <w:p w14:paraId="6A01A69F">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shd w:val="clear" w:color="auto" w:fill="auto"/>
          <w:lang w:eastAsia="zh-CN"/>
        </w:rPr>
        <w:t>江苏省东台中等专业学校大数据与财务管理实训中心项目（第二次）</w:t>
      </w:r>
    </w:p>
    <w:p w14:paraId="2B9F0C06">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67D841D4">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cs="宋体"/>
          <w:color w:val="auto"/>
          <w:sz w:val="24"/>
          <w:highlight w:val="none"/>
          <w:u w:val="none"/>
        </w:rPr>
        <w:t>80.000000万元</w:t>
      </w:r>
    </w:p>
    <w:p w14:paraId="05D27A87">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fill="FFFFFF"/>
        </w:rPr>
        <w:t>最高限价（如有）：</w:t>
      </w:r>
      <w:r>
        <w:rPr>
          <w:rFonts w:hint="eastAsia" w:ascii="宋体" w:hAnsi="宋体" w:eastAsia="宋体" w:cs="宋体"/>
          <w:i w:val="0"/>
          <w:iCs w:val="0"/>
          <w:caps w:val="0"/>
          <w:color w:val="auto"/>
          <w:spacing w:val="0"/>
          <w:sz w:val="24"/>
          <w:szCs w:val="24"/>
          <w:highlight w:val="none"/>
          <w:shd w:val="clear" w:fill="FFFFFF"/>
          <w:lang w:val="en-US" w:eastAsia="zh-CN"/>
        </w:rPr>
        <w:t>79</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0万元</w:t>
      </w:r>
    </w:p>
    <w:p w14:paraId="4E40E672">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采购需求（简介）：</w:t>
      </w:r>
    </w:p>
    <w:p w14:paraId="19552D4B">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江苏省东台中等专业学校大数据与财务管理实训中心项目（第二次），我校申报并通过江苏联合职业技术学院五年制高职《大数据与财务管理》专业的办学资格，按照学院指导性人才培养方案，需要匹配一系列的理实一体和专业实训课程，拟采购大数据与财务管理实训中心业财融合实践教学平台、财务大数据实践教学平台、数智企业经营管理沙盘、实训中心机房及布线与凳等。（详细内容见本招标文件第四章）</w:t>
      </w:r>
    </w:p>
    <w:p w14:paraId="3F219888">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合同签订后15日内全部送达招标人指定地点，并安装调试完毕（具体时间按招标人要求调整）。</w:t>
      </w:r>
    </w:p>
    <w:p w14:paraId="4F48131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u w:val="none"/>
          <w:lang w:eastAsia="zh-CN"/>
        </w:rPr>
      </w:pPr>
      <w:bookmarkStart w:id="13" w:name="_Toc35393791"/>
      <w:bookmarkStart w:id="14" w:name="_Toc28359003"/>
      <w:bookmarkStart w:id="15" w:name="_Toc28359080"/>
      <w:bookmarkStart w:id="16" w:name="_Toc38985264"/>
      <w:bookmarkStart w:id="17" w:name="_Toc35393622"/>
      <w:r>
        <w:rPr>
          <w:rFonts w:hint="eastAsia" w:ascii="宋体" w:hAnsi="宋体" w:eastAsia="宋体" w:cs="宋体"/>
          <w:color w:val="auto"/>
          <w:sz w:val="24"/>
          <w:highlight w:val="none"/>
          <w:u w:val="none"/>
          <w:lang w:eastAsia="zh-CN"/>
        </w:rPr>
        <w:t>本项目（是/否）接受联合体投标：否</w:t>
      </w:r>
      <w:bookmarkStart w:id="207" w:name="_GoBack"/>
      <w:bookmarkEnd w:id="207"/>
    </w:p>
    <w:p w14:paraId="2BBE4C80">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327D296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106347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1.法人或者其他组织的营业执照等证明文件；</w:t>
      </w:r>
    </w:p>
    <w:p w14:paraId="38D1320F">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上一年度财务状况报表（成立不满一年无需提供）；</w:t>
      </w:r>
    </w:p>
    <w:p w14:paraId="2EB9D63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3.具备履行合同所必需的设备和专业技术能力的书面声明；</w:t>
      </w:r>
    </w:p>
    <w:p w14:paraId="4DAEE81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2C94C8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5.参加政府采购活动前3年内在经营活动中没有重大违法记录的书面声明；</w:t>
      </w:r>
    </w:p>
    <w:p w14:paraId="73CB38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6.投标人法定代表人身份证明和投标文件签署授权委托书（另附法定代表人和被授权人的身份证复印件或扫描件）；</w:t>
      </w:r>
    </w:p>
    <w:p w14:paraId="45D9A8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7.投标人为被授权人缴纳的社会养老保险证明（如有）；</w:t>
      </w:r>
    </w:p>
    <w:p w14:paraId="7D445E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8.法律、行政法规规定的其他条件；</w:t>
      </w:r>
    </w:p>
    <w:p w14:paraId="63F9EEA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199A6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10.单位负责人为同一人或者存在直接控股、管理关系的不同供应商，不得参加同一合同项下的政府采购活动（自行承诺，格式自理）。</w:t>
      </w:r>
    </w:p>
    <w:p w14:paraId="141DAA9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（二）落实政府采购政策需满足的资格要求：</w:t>
      </w:r>
    </w:p>
    <w:p w14:paraId="339AF67B">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w:t>
      </w:r>
    </w:p>
    <w:p w14:paraId="5DFE15D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（三）本项目的特定资格要求：</w:t>
      </w:r>
    </w:p>
    <w:p w14:paraId="20088425">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w:t>
      </w:r>
    </w:p>
    <w:p w14:paraId="4B80F930">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三、获取招标文件</w:t>
      </w:r>
    </w:p>
    <w:p w14:paraId="3DC826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rPr>
      </w:pPr>
      <w:bookmarkStart w:id="18" w:name="_Toc28359082"/>
      <w:bookmarkStart w:id="19" w:name="_Toc38985266"/>
      <w:bookmarkStart w:id="20" w:name="_Toc35393793"/>
      <w:bookmarkStart w:id="21" w:name="_Toc28359005"/>
      <w:bookmarkStart w:id="22" w:name="_Toc35393624"/>
      <w:r>
        <w:rPr>
          <w:rFonts w:hint="eastAsia" w:ascii="宋体" w:hAnsi="宋体" w:eastAsia="宋体" w:cs="宋体"/>
          <w:color w:val="auto"/>
          <w:sz w:val="24"/>
          <w:szCs w:val="24"/>
          <w:highlight w:val="none"/>
          <w:shd w:val="clear" w:color="auto" w:fill="auto"/>
        </w:rPr>
        <w:t>时间：</w:t>
      </w:r>
      <w:bookmarkEnd w:id="18"/>
      <w:bookmarkEnd w:id="19"/>
      <w:bookmarkEnd w:id="20"/>
      <w:bookmarkEnd w:id="21"/>
      <w:bookmarkEnd w:id="22"/>
      <w:r>
        <w:rPr>
          <w:rFonts w:hint="eastAsia" w:ascii="宋体" w:hAnsi="宋体" w:eastAsia="宋体" w:cs="宋体"/>
          <w:color w:val="auto"/>
          <w:sz w:val="24"/>
          <w:szCs w:val="24"/>
          <w:highlight w:val="none"/>
          <w:shd w:val="clear" w:color="auto" w:fill="auto"/>
        </w:rPr>
        <w:t>自招标文件公告发布之日起5个工作日。</w:t>
      </w:r>
    </w:p>
    <w:p w14:paraId="319A10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地点：“苏采云”系统内免费下载（投标人必须在苏采云系统中获取采购文件，方能参与政府采购项目）；</w:t>
      </w:r>
    </w:p>
    <w:p w14:paraId="433DA5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方式：本项目采用网上注册登记方式</w:t>
      </w:r>
    </w:p>
    <w:p w14:paraId="10881589">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售价：</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szCs w:val="24"/>
          <w:highlight w:val="none"/>
          <w:shd w:val="clear" w:color="auto" w:fill="auto"/>
          <w:lang w:val="en-US" w:eastAsia="zh-CN"/>
        </w:rPr>
        <w:t>元</w:t>
      </w:r>
    </w:p>
    <w:p w14:paraId="0B867649">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338A6E1B">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2025-</w:t>
      </w:r>
      <w:r>
        <w:rPr>
          <w:rFonts w:hint="eastAsia" w:ascii="宋体" w:hAnsi="宋体" w:eastAsia="宋体" w:cs="宋体"/>
          <w:color w:val="auto"/>
          <w:sz w:val="24"/>
          <w:szCs w:val="24"/>
          <w:highlight w:val="none"/>
          <w:shd w:val="clear" w:color="auto" w:fill="auto"/>
          <w:lang w:val="en-US" w:eastAsia="zh-CN"/>
        </w:rPr>
        <w:t>12</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04 09</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0</w:t>
      </w:r>
      <w:r>
        <w:rPr>
          <w:rFonts w:hint="eastAsia" w:ascii="宋体" w:hAnsi="宋体" w:eastAsia="宋体" w:cs="宋体"/>
          <w:color w:val="auto"/>
          <w:sz w:val="24"/>
          <w:szCs w:val="24"/>
          <w:highlight w:val="none"/>
          <w:shd w:val="clear" w:color="auto" w:fill="auto"/>
        </w:rPr>
        <w:t>0（北京时间）</w:t>
      </w:r>
    </w:p>
    <w:p w14:paraId="632E08EA">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地点：苏采云“不见面”开标大厅</w:t>
      </w:r>
    </w:p>
    <w:p w14:paraId="53D1FEF1">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23" w:name="_Toc35393625"/>
      <w:bookmarkStart w:id="24" w:name="_Toc38985267"/>
      <w:bookmarkStart w:id="25" w:name="_Toc28359084"/>
      <w:bookmarkStart w:id="26" w:name="_Toc35393794"/>
      <w:bookmarkStart w:id="27" w:name="_Toc28359007"/>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6AD61FA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8" w:name="_Toc35393795"/>
      <w:bookmarkStart w:id="29" w:name="_Toc35393626"/>
      <w:bookmarkStart w:id="30" w:name="_Toc38985268"/>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8"/>
      <w:bookmarkEnd w:id="29"/>
      <w:bookmarkEnd w:id="30"/>
    </w:p>
    <w:p w14:paraId="12A0449A">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6EE923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7981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5CB1F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32B2C6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B2B076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36925F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p>
    <w:p w14:paraId="1EC23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p>
    <w:p w14:paraId="49BD22A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2F5D550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C27D4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3.有关本次招标的事项若存在变动或修改，敬请及时关注盐城市政府采购中心在“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江苏政府采购网”“盐城市政府采购网”发布的更正公告。</w:t>
      </w:r>
    </w:p>
    <w:p w14:paraId="5CE500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4.本次招标不收取投标保证金，不收取质量保证金。</w:t>
      </w:r>
    </w:p>
    <w:p w14:paraId="57ED5A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.本项目（是/否）接受银行、保险、石油石化、电力、电信等行业的分支机构参与：</w:t>
      </w:r>
      <w:r>
        <w:rPr>
          <w:rFonts w:hint="eastAsia" w:ascii="宋体" w:hAnsi="宋体" w:cs="宋体"/>
          <w:color w:val="auto"/>
          <w:sz w:val="24"/>
          <w:highlight w:val="none"/>
          <w:lang w:val="en-US" w:eastAsia="zh-CN"/>
        </w:rPr>
        <w:t>是</w:t>
      </w:r>
      <w:r>
        <w:rPr>
          <w:rFonts w:hint="eastAsia" w:ascii="宋体" w:hAnsi="宋体" w:cs="宋体"/>
          <w:color w:val="auto"/>
          <w:sz w:val="24"/>
          <w:highlight w:val="none"/>
        </w:rPr>
        <w:t>。</w:t>
      </w:r>
    </w:p>
    <w:p w14:paraId="36407B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.供应商成交后打印纸质响应文件（正本壹份、副本</w:t>
      </w:r>
      <w:r>
        <w:rPr>
          <w:rFonts w:hint="eastAsia" w:ascii="宋体" w:hAnsi="宋体" w:cs="宋体"/>
          <w:color w:val="auto"/>
          <w:sz w:val="24"/>
          <w:highlight w:val="none"/>
          <w:lang w:val="en-US" w:eastAsia="zh-CN"/>
        </w:rPr>
        <w:t>叁</w:t>
      </w:r>
      <w:r>
        <w:rPr>
          <w:rFonts w:hint="eastAsia" w:ascii="宋体" w:hAnsi="宋体" w:cs="宋体"/>
          <w:color w:val="auto"/>
          <w:sz w:val="24"/>
          <w:highlight w:val="none"/>
        </w:rPr>
        <w:t>份），在领取成交通知书前与用普通光盘或U盘拷贝的电子响应文件一并送至采购人。</w:t>
      </w:r>
    </w:p>
    <w:p w14:paraId="219FF8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、对本次</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提出询问，请按以下方式联系。</w:t>
      </w:r>
      <w:bookmarkEnd w:id="31"/>
    </w:p>
    <w:p w14:paraId="700FB20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1.采购人信息</w:t>
      </w:r>
    </w:p>
    <w:p w14:paraId="29055E2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江苏省东台中等专业学校</w:t>
      </w:r>
    </w:p>
    <w:p w14:paraId="449D6AAD">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szCs w:val="24"/>
          <w:highlight w:val="none"/>
          <w:lang w:val="en-US" w:eastAsia="zh-CN"/>
        </w:rPr>
        <w:t>江苏省东台市富民路2号</w:t>
      </w:r>
    </w:p>
    <w:p w14:paraId="26F9A3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联系人：</w:t>
      </w:r>
      <w:r>
        <w:rPr>
          <w:rFonts w:hint="eastAsia" w:ascii="宋体" w:hAnsi="宋体" w:cs="宋体"/>
          <w:color w:val="auto"/>
          <w:sz w:val="24"/>
          <w:highlight w:val="none"/>
          <w:lang w:val="en-US" w:eastAsia="zh-CN"/>
        </w:rPr>
        <w:t>曹</w:t>
      </w:r>
      <w:r>
        <w:rPr>
          <w:rFonts w:hint="eastAsia" w:ascii="宋体" w:hAnsi="宋体" w:cs="宋体"/>
          <w:color w:val="auto"/>
          <w:sz w:val="24"/>
          <w:highlight w:val="none"/>
        </w:rPr>
        <w:t>先生</w:t>
      </w:r>
    </w:p>
    <w:p w14:paraId="25BA9C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w:t>
      </w:r>
      <w:r>
        <w:rPr>
          <w:rFonts w:hint="eastAsia" w:ascii="宋体" w:hAnsi="宋体" w:eastAsia="宋体" w:cs="宋体"/>
          <w:color w:val="auto"/>
          <w:sz w:val="24"/>
          <w:szCs w:val="24"/>
          <w:highlight w:val="none"/>
          <w:lang w:val="en-US" w:eastAsia="zh-CN"/>
        </w:rPr>
        <w:t>13912516822</w:t>
      </w:r>
    </w:p>
    <w:p w14:paraId="7CEF2D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2.采购代理机构信息</w:t>
      </w:r>
    </w:p>
    <w:p w14:paraId="219D5F7B">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江苏策诚工程咨询有限公司</w:t>
      </w:r>
    </w:p>
    <w:p w14:paraId="4CE82309">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lang w:eastAsia="zh-CN"/>
        </w:rPr>
        <w:t>东台市唯诚大厦20层</w:t>
      </w:r>
    </w:p>
    <w:p w14:paraId="7CE5070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张先生</w:t>
      </w:r>
    </w:p>
    <w:p w14:paraId="4C0CD00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p>
    <w:p w14:paraId="57B8E99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C698DC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张</w:t>
      </w:r>
      <w:r>
        <w:rPr>
          <w:rFonts w:hint="eastAsia" w:ascii="宋体" w:hAnsi="宋体" w:eastAsia="宋体" w:cs="宋体"/>
          <w:color w:val="auto"/>
          <w:sz w:val="24"/>
          <w:szCs w:val="24"/>
          <w:highlight w:val="none"/>
        </w:rPr>
        <w:t>先生</w:t>
      </w:r>
    </w:p>
    <w:p w14:paraId="2DA6C8B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r>
      <w:bookmarkStart w:id="32" w:name="_Toc120614211"/>
    </w:p>
    <w:p w14:paraId="1F608876">
      <w:pPr>
        <w:pStyle w:val="13"/>
        <w:keepNext/>
        <w:keepLines/>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color w:val="auto"/>
          <w:highlight w:val="none"/>
        </w:rPr>
      </w:pPr>
      <w:r>
        <w:rPr>
          <w:rFonts w:hint="eastAsia" w:ascii="黑体" w:hAnsi="宋体" w:eastAsia="黑体" w:cs="黑体"/>
          <w:b/>
          <w:color w:val="auto"/>
          <w:sz w:val="44"/>
          <w:szCs w:val="44"/>
          <w:highlight w:val="none"/>
        </w:rPr>
        <w:t xml:space="preserve">第二章  </w:t>
      </w:r>
      <w:bookmarkEnd w:id="32"/>
      <w:bookmarkStart w:id="33" w:name="_Toc16938518"/>
      <w:bookmarkStart w:id="34" w:name="_Toc513029202"/>
      <w:bookmarkStart w:id="35" w:name="_Toc120614213"/>
      <w:bookmarkStart w:id="36" w:name="_Toc20823274"/>
      <w:r>
        <w:rPr>
          <w:rFonts w:hint="eastAsia" w:ascii="黑体" w:hAnsi="宋体" w:eastAsia="黑体" w:cs="黑体"/>
          <w:b/>
          <w:color w:val="auto"/>
          <w:sz w:val="44"/>
          <w:szCs w:val="44"/>
          <w:highlight w:val="none"/>
        </w:rPr>
        <w:t>投标人须知</w:t>
      </w:r>
      <w:bookmarkEnd w:id="33"/>
      <w:bookmarkEnd w:id="34"/>
      <w:bookmarkEnd w:id="35"/>
      <w:bookmarkEnd w:id="36"/>
    </w:p>
    <w:p w14:paraId="1CF6AF5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37" w:name="_Toc20823275"/>
      <w:bookmarkStart w:id="38" w:name="_Toc16938519"/>
      <w:bookmarkStart w:id="39" w:name="_Toc120614214"/>
      <w:bookmarkStart w:id="40" w:name="_Toc513029203"/>
      <w:r>
        <w:rPr>
          <w:rFonts w:hint="eastAsia" w:ascii="宋体" w:hAnsi="宋体" w:eastAsia="宋体" w:cs="宋体"/>
          <w:b/>
          <w:color w:val="auto"/>
          <w:sz w:val="24"/>
          <w:szCs w:val="24"/>
          <w:highlight w:val="none"/>
        </w:rPr>
        <w:t>一、总则</w:t>
      </w:r>
      <w:bookmarkEnd w:id="37"/>
      <w:bookmarkEnd w:id="38"/>
      <w:bookmarkEnd w:id="39"/>
      <w:bookmarkEnd w:id="40"/>
    </w:p>
    <w:p w14:paraId="4377FA7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1" w:name="_Toc20823276"/>
      <w:bookmarkStart w:id="42" w:name="_Toc458694821"/>
      <w:bookmarkStart w:id="43" w:name="_Toc16938520"/>
      <w:bookmarkStart w:id="44" w:name="_Toc513029204"/>
      <w:bookmarkStart w:id="45" w:name="_Hlt16619475"/>
      <w:r>
        <w:rPr>
          <w:rFonts w:hint="eastAsia" w:ascii="宋体" w:hAnsi="宋体" w:eastAsia="宋体" w:cs="宋体"/>
          <w:b/>
          <w:bCs/>
          <w:color w:val="auto"/>
          <w:sz w:val="24"/>
          <w:szCs w:val="24"/>
          <w:highlight w:val="none"/>
        </w:rPr>
        <w:t>1</w:t>
      </w:r>
      <w:bookmarkEnd w:id="41"/>
      <w:r>
        <w:rPr>
          <w:rFonts w:hint="eastAsia" w:ascii="宋体" w:hAnsi="宋体" w:eastAsia="宋体" w:cs="宋体"/>
          <w:b/>
          <w:bCs/>
          <w:color w:val="auto"/>
          <w:sz w:val="24"/>
          <w:szCs w:val="24"/>
          <w:highlight w:val="none"/>
        </w:rPr>
        <w:t>、招标方式</w:t>
      </w:r>
      <w:bookmarkEnd w:id="42"/>
      <w:bookmarkEnd w:id="43"/>
      <w:bookmarkEnd w:id="44"/>
    </w:p>
    <w:p w14:paraId="374A910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B5CDAA0">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6" w:name="_Toc16938521"/>
      <w:bookmarkStart w:id="47" w:name="_Toc20823277"/>
      <w:bookmarkStart w:id="48" w:name="_Toc513029205"/>
      <w:r>
        <w:rPr>
          <w:rFonts w:hint="eastAsia" w:ascii="宋体" w:hAnsi="宋体" w:eastAsia="宋体" w:cs="宋体"/>
          <w:b/>
          <w:bCs/>
          <w:color w:val="auto"/>
          <w:sz w:val="24"/>
          <w:szCs w:val="24"/>
          <w:highlight w:val="none"/>
        </w:rPr>
        <w:t>2、合格的投标人</w:t>
      </w:r>
      <w:bookmarkEnd w:id="46"/>
      <w:bookmarkEnd w:id="47"/>
      <w:bookmarkEnd w:id="48"/>
    </w:p>
    <w:p w14:paraId="1D02038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满足招标公告中供应商的资格要求的规定。</w:t>
      </w:r>
    </w:p>
    <w:p w14:paraId="2D5548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7F500D6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9" w:name="_Toc513029206"/>
      <w:bookmarkStart w:id="50" w:name="_Toc16938522"/>
      <w:bookmarkStart w:id="51" w:name="_Toc20823278"/>
      <w:r>
        <w:rPr>
          <w:rFonts w:hint="eastAsia" w:ascii="宋体" w:hAnsi="宋体" w:eastAsia="宋体" w:cs="宋体"/>
          <w:b/>
          <w:bCs/>
          <w:color w:val="auto"/>
          <w:sz w:val="24"/>
          <w:szCs w:val="24"/>
          <w:highlight w:val="none"/>
        </w:rPr>
        <w:t>3、适用法律</w:t>
      </w:r>
      <w:bookmarkEnd w:id="49"/>
      <w:bookmarkEnd w:id="50"/>
      <w:bookmarkEnd w:id="51"/>
    </w:p>
    <w:p w14:paraId="76A32F9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7AA468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52" w:name="_Toc513029207"/>
      <w:bookmarkStart w:id="53" w:name="_Toc16938523"/>
      <w:bookmarkStart w:id="54" w:name="_Toc462564067"/>
      <w:bookmarkStart w:id="55" w:name="_Toc20823279"/>
      <w:r>
        <w:rPr>
          <w:rFonts w:hint="eastAsia" w:ascii="宋体" w:hAnsi="宋体" w:eastAsia="宋体" w:cs="宋体"/>
          <w:b/>
          <w:bCs/>
          <w:color w:val="auto"/>
          <w:sz w:val="24"/>
          <w:szCs w:val="24"/>
          <w:highlight w:val="none"/>
        </w:rPr>
        <w:t>4、投标费用</w:t>
      </w:r>
      <w:bookmarkEnd w:id="52"/>
      <w:bookmarkEnd w:id="53"/>
      <w:bookmarkEnd w:id="54"/>
      <w:bookmarkEnd w:id="55"/>
    </w:p>
    <w:p w14:paraId="46EDCB38">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投标人应自行承担所有与参加投标有关的费用，无论投标过程中的做法和结果如何，采购人在任何情况下均无义务和责任承担这些费用。</w:t>
      </w:r>
    </w:p>
    <w:p w14:paraId="5EA18AF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5、招标文件的约束力</w:t>
      </w:r>
    </w:p>
    <w:p w14:paraId="419B2A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1704B2AE">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56" w:name="_Toc513029209"/>
      <w:bookmarkStart w:id="57" w:name="_Toc16938525"/>
      <w:bookmarkStart w:id="58" w:name="_Toc20823281"/>
      <w:bookmarkStart w:id="59" w:name="_Toc120614215"/>
      <w:r>
        <w:rPr>
          <w:rFonts w:hint="eastAsia" w:ascii="宋体" w:hAnsi="宋体" w:eastAsia="宋体" w:cs="宋体"/>
          <w:b/>
          <w:color w:val="auto"/>
          <w:sz w:val="24"/>
          <w:szCs w:val="24"/>
          <w:highlight w:val="none"/>
        </w:rPr>
        <w:t>二、招标文件</w:t>
      </w:r>
      <w:bookmarkEnd w:id="56"/>
      <w:bookmarkEnd w:id="57"/>
      <w:bookmarkEnd w:id="58"/>
      <w:bookmarkEnd w:id="59"/>
    </w:p>
    <w:p w14:paraId="7489532A">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0" w:name="_Toc16938526"/>
      <w:bookmarkStart w:id="61" w:name="_Toc513029210"/>
      <w:bookmarkStart w:id="62" w:name="_Toc20823282"/>
      <w:r>
        <w:rPr>
          <w:rFonts w:hint="eastAsia" w:ascii="宋体" w:hAnsi="宋体" w:eastAsia="宋体" w:cs="宋体"/>
          <w:b/>
          <w:bCs/>
          <w:color w:val="auto"/>
          <w:sz w:val="24"/>
          <w:szCs w:val="24"/>
          <w:highlight w:val="none"/>
        </w:rPr>
        <w:t>6、招标文件构成</w:t>
      </w:r>
      <w:bookmarkEnd w:id="60"/>
      <w:bookmarkEnd w:id="61"/>
      <w:bookmarkEnd w:id="62"/>
    </w:p>
    <w:p w14:paraId="55283B4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37040D9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41D6815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120A86A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409C2EB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45F666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DB41D8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1DDDCD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联系解决。</w:t>
      </w:r>
    </w:p>
    <w:p w14:paraId="3D42789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7C4BE1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3" w:name="_Toc462564070"/>
      <w:bookmarkStart w:id="64" w:name="_Toc16938527"/>
      <w:bookmarkStart w:id="65" w:name="_Toc513029211"/>
      <w:bookmarkStart w:id="66" w:name="_Toc20823283"/>
      <w:r>
        <w:rPr>
          <w:rFonts w:hint="eastAsia" w:ascii="宋体" w:hAnsi="宋体" w:eastAsia="宋体" w:cs="宋体"/>
          <w:b/>
          <w:bCs/>
          <w:color w:val="auto"/>
          <w:sz w:val="24"/>
          <w:szCs w:val="24"/>
          <w:highlight w:val="none"/>
        </w:rPr>
        <w:t>7、招标文件的澄清</w:t>
      </w:r>
      <w:bookmarkEnd w:id="63"/>
      <w:bookmarkEnd w:id="64"/>
      <w:bookmarkEnd w:id="65"/>
      <w:bookmarkEnd w:id="66"/>
    </w:p>
    <w:p w14:paraId="4E05C2F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707F51F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7" w:name="_Toc16938528"/>
      <w:bookmarkStart w:id="68" w:name="_Toc462564071"/>
      <w:bookmarkStart w:id="69" w:name="_Toc20823284"/>
      <w:bookmarkStart w:id="70" w:name="_Toc513029212"/>
      <w:r>
        <w:rPr>
          <w:rFonts w:hint="eastAsia" w:ascii="宋体" w:hAnsi="宋体" w:eastAsia="宋体" w:cs="宋体"/>
          <w:b/>
          <w:bCs/>
          <w:color w:val="auto"/>
          <w:sz w:val="24"/>
          <w:szCs w:val="24"/>
          <w:highlight w:val="none"/>
        </w:rPr>
        <w:t>8、招标文件的修改</w:t>
      </w:r>
      <w:bookmarkEnd w:id="67"/>
      <w:bookmarkEnd w:id="68"/>
      <w:bookmarkEnd w:id="69"/>
      <w:bookmarkEnd w:id="70"/>
    </w:p>
    <w:p w14:paraId="1B19A4A1">
      <w:pPr>
        <w:spacing w:line="360" w:lineRule="auto"/>
        <w:ind w:firstLine="480"/>
        <w:jc w:val="left"/>
        <w:rPr>
          <w:rFonts w:ascii="宋体" w:hAnsi="宋体" w:eastAsia="宋体" w:cs="宋体"/>
          <w:color w:val="auto"/>
          <w:sz w:val="24"/>
          <w:highlight w:val="none"/>
        </w:rPr>
      </w:pPr>
      <w:bookmarkStart w:id="71" w:name="_Toc120614216"/>
      <w:bookmarkStart w:id="72" w:name="_Toc462564072"/>
      <w:bookmarkStart w:id="73" w:name="_Toc20823285"/>
      <w:bookmarkStart w:id="74" w:name="_Toc513029213"/>
      <w:bookmarkStart w:id="75" w:name="_Toc16938529"/>
      <w:r>
        <w:rPr>
          <w:rFonts w:hint="eastAsia" w:ascii="宋体" w:hAnsi="宋体" w:eastAsia="宋体" w:cs="宋体"/>
          <w:color w:val="auto"/>
          <w:sz w:val="24"/>
          <w:highlight w:val="none"/>
        </w:rPr>
        <w:t>8.1在投标截止时间前，</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可以对招标文件进行修改。</w:t>
      </w:r>
    </w:p>
    <w:p w14:paraId="372221DC">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有权按照法定的要求推迟投标截止日期和开标日期。</w:t>
      </w:r>
    </w:p>
    <w:p w14:paraId="7B630A69">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8.3招标文件的修改将在“中国政府采购网、江苏政府采购网、盐城市政府采购网”公布，补充文件将作为招标文件的组成部分，并对投标人具有约束力。</w:t>
      </w:r>
    </w:p>
    <w:p w14:paraId="4B75C803">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三、投标文件的编制</w:t>
      </w:r>
      <w:bookmarkEnd w:id="71"/>
      <w:bookmarkEnd w:id="72"/>
      <w:bookmarkEnd w:id="73"/>
      <w:bookmarkEnd w:id="74"/>
      <w:bookmarkEnd w:id="75"/>
    </w:p>
    <w:p w14:paraId="7245C50A">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76" w:name="_Toc513029214"/>
      <w:bookmarkStart w:id="77" w:name="_Toc16938530"/>
      <w:bookmarkStart w:id="78" w:name="_Toc20823286"/>
      <w:bookmarkStart w:id="79" w:name="_Toc462564073"/>
      <w:r>
        <w:rPr>
          <w:rFonts w:hint="eastAsia" w:ascii="宋体" w:hAnsi="宋体" w:eastAsia="宋体" w:cs="宋体"/>
          <w:b/>
          <w:bCs/>
          <w:color w:val="auto"/>
          <w:sz w:val="24"/>
          <w:szCs w:val="24"/>
          <w:highlight w:val="none"/>
        </w:rPr>
        <w:t>9、投标文件的语言及度量衡单位</w:t>
      </w:r>
      <w:bookmarkEnd w:id="76"/>
      <w:bookmarkEnd w:id="77"/>
      <w:bookmarkEnd w:id="78"/>
      <w:bookmarkEnd w:id="79"/>
    </w:p>
    <w:p w14:paraId="165980A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19731C6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60102173">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80" w:name="_Toc20823287"/>
      <w:bookmarkStart w:id="81" w:name="_Toc462564074"/>
      <w:bookmarkStart w:id="82" w:name="_Toc16938531"/>
      <w:bookmarkStart w:id="83" w:name="_Toc513029215"/>
      <w:r>
        <w:rPr>
          <w:rFonts w:hint="eastAsia" w:ascii="宋体" w:hAnsi="宋体" w:eastAsia="宋体" w:cs="宋体"/>
          <w:b/>
          <w:bCs/>
          <w:color w:val="auto"/>
          <w:sz w:val="24"/>
          <w:szCs w:val="24"/>
          <w:highlight w:val="none"/>
        </w:rPr>
        <w:t>10、投标文件构成</w:t>
      </w:r>
      <w:bookmarkEnd w:id="80"/>
      <w:bookmarkEnd w:id="81"/>
      <w:bookmarkEnd w:id="82"/>
      <w:bookmarkEnd w:id="83"/>
    </w:p>
    <w:p w14:paraId="5699AA7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37613B2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发布的招标文件为准。</w:t>
      </w:r>
    </w:p>
    <w:p w14:paraId="31E7A96B">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84" w:name="_Toc14577357"/>
      <w:bookmarkStart w:id="85" w:name="_Toc513029216"/>
      <w:bookmarkStart w:id="86" w:name="_Toc14577354"/>
      <w:bookmarkStart w:id="87" w:name="_Toc49090507"/>
      <w:bookmarkStart w:id="88" w:name="_Toc513029219"/>
      <w:bookmarkStart w:id="89" w:name="_Toc49090508"/>
      <w:bookmarkStart w:id="90" w:name="_Toc49090509"/>
      <w:bookmarkStart w:id="91" w:name="_Toc14577355"/>
      <w:bookmarkStart w:id="92" w:name="_Hlt26668975"/>
      <w:bookmarkStart w:id="93" w:name="_Hlt26954838"/>
      <w:bookmarkStart w:id="94" w:name="_Hlt26670360"/>
      <w:r>
        <w:rPr>
          <w:rFonts w:hint="eastAsia" w:ascii="宋体" w:hAnsi="宋体" w:eastAsia="宋体" w:cs="宋体"/>
          <w:b/>
          <w:bCs/>
          <w:color w:val="auto"/>
          <w:sz w:val="24"/>
          <w:szCs w:val="24"/>
          <w:highlight w:val="none"/>
        </w:rPr>
        <w:t>11、证明投标人及投标标的符合招标文件规定的文件</w:t>
      </w:r>
      <w:bookmarkEnd w:id="84"/>
      <w:bookmarkEnd w:id="85"/>
      <w:bookmarkEnd w:id="86"/>
      <w:bookmarkEnd w:id="87"/>
      <w:bookmarkEnd w:id="88"/>
      <w:bookmarkEnd w:id="89"/>
      <w:bookmarkEnd w:id="90"/>
      <w:bookmarkEnd w:id="91"/>
    </w:p>
    <w:p w14:paraId="4D3B6C0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756B60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招标文件对证明文件无明确形式要求的，证明文件可以以文字资料、图纸和数据等形式提交。</w:t>
      </w:r>
    </w:p>
    <w:p w14:paraId="5AB36DF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12、投标分项报价表</w:t>
      </w:r>
    </w:p>
    <w:p w14:paraId="41A107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36ACA13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投标货币。投标文件中的单价和总价无特殊规定的采用人民币报价，以元为单位标注。招标文件中另有规定的按规定执行。</w:t>
      </w:r>
    </w:p>
    <w:p w14:paraId="47C4860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95" w:name="_Hlt26954848"/>
      <w:bookmarkStart w:id="96" w:name="_Hlt26954731"/>
      <w:bookmarkStart w:id="97" w:name="_Hlt26954846"/>
      <w:bookmarkStart w:id="98" w:name="_Hlt26670482"/>
      <w:bookmarkStart w:id="99" w:name="_Hlt26670486"/>
      <w:r>
        <w:rPr>
          <w:rFonts w:hint="eastAsia" w:ascii="宋体" w:hAnsi="宋体" w:eastAsia="宋体" w:cs="宋体"/>
          <w:b/>
          <w:bCs/>
          <w:color w:val="auto"/>
          <w:sz w:val="24"/>
          <w:szCs w:val="24"/>
          <w:highlight w:val="none"/>
        </w:rPr>
        <w:t>13、技术要求响应及偏离表、商务要求响应及偏离表</w:t>
      </w:r>
    </w:p>
    <w:p w14:paraId="1A0A08F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投标人需对招标文件中的技术要求与商务要求逐项作出响应或偏离，并说明原因。</w:t>
      </w:r>
    </w:p>
    <w:p w14:paraId="5BF0F0C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3CA00AD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p>
    <w:p w14:paraId="3950FF32">
      <w:pPr>
        <w:shd w:val="clear" w:color="auto" w:fill="auto"/>
        <w:spacing w:line="360" w:lineRule="auto"/>
        <w:ind w:firstLine="480" w:firstLineChars="200"/>
        <w:rPr>
          <w:rFonts w:hint="eastAsia" w:ascii="宋体" w:hAnsi="宋体"/>
          <w:color w:val="auto"/>
          <w:sz w:val="24"/>
          <w:highlight w:val="none"/>
        </w:rPr>
      </w:pPr>
      <w:bookmarkStart w:id="100" w:name="_Toc14577359"/>
      <w:bookmarkStart w:id="101" w:name="_Toc49090510"/>
      <w:r>
        <w:rPr>
          <w:rFonts w:hint="eastAsia" w:ascii="宋体" w:hAnsi="宋体"/>
          <w:color w:val="auto"/>
          <w:sz w:val="24"/>
          <w:highlight w:val="none"/>
        </w:rPr>
        <w:t>14.1项目验收合格后，软件平台提供不少于一年的免费维保期，硬件设备提供不少于三年的免费维保期。质保内容包含但不限于以下内容：</w:t>
      </w:r>
    </w:p>
    <w:p w14:paraId="52EB4E4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14.1.1在免费维保期内，中标单位接到服务请求后，应保证在2小时内及时响应并提供服务，6小时内解决故障并恢复正常运行。对于重大事故或其他重要事件，应保证4小时内到达现场服务；</w:t>
      </w:r>
    </w:p>
    <w:p w14:paraId="53A5B80E">
      <w:pPr>
        <w:shd w:val="clear" w:color="auto" w:fill="auto"/>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14.1.2应急故障处理：系统运行环境出现故障或意外情况导致系统不能正常运行时，投标单位应做到7*24小时响应；</w:t>
      </w:r>
    </w:p>
    <w:p w14:paraId="3A29FBA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14.1.3系统升级：提供同版本平台的软件补丁和升级服务；</w:t>
      </w:r>
    </w:p>
    <w:p w14:paraId="309C155F">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14.2培训服务：投标人应向采购人提供必要的培训资料，包含但不限于平台操作手册、教学大纲、课程教案等材料；提供平台的整体培训方案，使参训老师理解并掌握系统操作技能。</w:t>
      </w:r>
    </w:p>
    <w:p w14:paraId="435CF34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14.3项目维保期内至少安排2名运维人员进行技术保障。</w:t>
      </w:r>
    </w:p>
    <w:p w14:paraId="53CBC2E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15、投标函和开标一览表</w:t>
      </w:r>
      <w:bookmarkEnd w:id="100"/>
      <w:bookmarkEnd w:id="101"/>
    </w:p>
    <w:p w14:paraId="0604DFB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03A9547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5D1F2E40">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02" w:name="_Toc14577360"/>
      <w:bookmarkStart w:id="103" w:name="_Toc49090511"/>
      <w:r>
        <w:rPr>
          <w:rFonts w:hint="eastAsia" w:ascii="宋体" w:hAnsi="宋体" w:eastAsia="宋体" w:cs="宋体"/>
          <w:b/>
          <w:bCs/>
          <w:color w:val="auto"/>
          <w:sz w:val="24"/>
          <w:szCs w:val="24"/>
          <w:highlight w:val="none"/>
        </w:rPr>
        <w:t>16、投标有效期</w:t>
      </w:r>
      <w:bookmarkEnd w:id="102"/>
      <w:bookmarkEnd w:id="103"/>
    </w:p>
    <w:p w14:paraId="3E1FFD8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56DA0C4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17、投标有效期的延长</w:t>
      </w:r>
    </w:p>
    <w:p w14:paraId="4632234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04" w:name="_Toc16938540"/>
      <w:bookmarkStart w:id="105" w:name="_Toc120614217"/>
      <w:bookmarkStart w:id="106" w:name="_Toc513029224"/>
      <w:bookmarkStart w:id="107" w:name="_Toc20823296"/>
      <w:bookmarkStart w:id="108" w:name="_Hlt26954852"/>
      <w:bookmarkStart w:id="109" w:name="_Hlt26954739"/>
      <w:r>
        <w:rPr>
          <w:rFonts w:hint="eastAsia" w:ascii="宋体" w:hAnsi="宋体" w:eastAsia="宋体" w:cs="宋体"/>
          <w:color w:val="auto"/>
          <w:sz w:val="24"/>
          <w:szCs w:val="24"/>
          <w:highlight w:val="none"/>
        </w:rPr>
        <w:t>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06D103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四、投标文件的递交</w:t>
      </w:r>
      <w:bookmarkEnd w:id="104"/>
      <w:bookmarkEnd w:id="105"/>
      <w:bookmarkEnd w:id="106"/>
      <w:bookmarkEnd w:id="107"/>
    </w:p>
    <w:p w14:paraId="412CBAE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10" w:name="_Toc513029225"/>
      <w:bookmarkStart w:id="111" w:name="_Toc20823297"/>
      <w:bookmarkStart w:id="112" w:name="_Toc462564084"/>
      <w:bookmarkStart w:id="113" w:name="_Toc16938541"/>
      <w:r>
        <w:rPr>
          <w:rFonts w:hint="eastAsia" w:ascii="宋体" w:hAnsi="宋体" w:eastAsia="宋体" w:cs="宋体"/>
          <w:b/>
          <w:bCs/>
          <w:color w:val="auto"/>
          <w:sz w:val="24"/>
          <w:szCs w:val="24"/>
          <w:highlight w:val="none"/>
        </w:rPr>
        <w:t>18、电子投标文件</w:t>
      </w:r>
      <w:bookmarkEnd w:id="110"/>
      <w:bookmarkEnd w:id="111"/>
      <w:bookmarkEnd w:id="112"/>
      <w:bookmarkEnd w:id="113"/>
      <w:r>
        <w:rPr>
          <w:rFonts w:hint="eastAsia" w:ascii="宋体" w:hAnsi="宋体" w:eastAsia="宋体" w:cs="宋体"/>
          <w:b/>
          <w:bCs/>
          <w:color w:val="auto"/>
          <w:sz w:val="24"/>
          <w:szCs w:val="24"/>
          <w:highlight w:val="none"/>
        </w:rPr>
        <w:t>的递交</w:t>
      </w:r>
    </w:p>
    <w:p w14:paraId="7940F752">
      <w:pPr>
        <w:pStyle w:val="13"/>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18.1投标人应当按照《操作手册》规定，在投标截止时间前制作并上传电子投标文件。</w:t>
      </w:r>
      <w:bookmarkStart w:id="114" w:name="_Toc20823298"/>
      <w:bookmarkEnd w:id="114"/>
      <w:bookmarkStart w:id="115" w:name="_Toc16938542"/>
      <w:bookmarkEnd w:id="115"/>
      <w:bookmarkStart w:id="116" w:name="_Toc513029226"/>
    </w:p>
    <w:p w14:paraId="739F967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19、投标截止日期</w:t>
      </w:r>
    </w:p>
    <w:p w14:paraId="51CEDE3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40DC5E4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3E148978">
      <w:pPr>
        <w:spacing w:line="360" w:lineRule="auto"/>
        <w:ind w:firstLine="480" w:firstLineChars="200"/>
        <w:rPr>
          <w:rFonts w:hint="eastAsia" w:ascii="宋体" w:hAnsi="宋体" w:cs="宋体"/>
          <w:color w:val="auto"/>
          <w:sz w:val="24"/>
          <w:highlight w:val="none"/>
        </w:rPr>
      </w:pPr>
      <w:bookmarkStart w:id="117" w:name="_Toc16938543"/>
      <w:bookmarkStart w:id="118" w:name="_Toc513029227"/>
      <w:bookmarkStart w:id="119" w:name="_Toc20823299"/>
      <w:r>
        <w:rPr>
          <w:rFonts w:hint="eastAsia" w:ascii="宋体" w:hAnsi="宋体" w:cs="宋体"/>
          <w:color w:val="auto"/>
          <w:sz w:val="24"/>
          <w:highlight w:val="none"/>
        </w:rPr>
        <w:t>19.2 采购人可以按照规定，通过修改招标文件酌情延长投标截止日期，在此情况下，投标人的所有权利和义务以及投标人受制的截止日期均应以延长后新的截止日期为准。</w:t>
      </w:r>
    </w:p>
    <w:p w14:paraId="1A6C2F1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20、投标文件</w:t>
      </w:r>
      <w:bookmarkEnd w:id="117"/>
      <w:bookmarkEnd w:id="118"/>
      <w:bookmarkEnd w:id="119"/>
      <w:r>
        <w:rPr>
          <w:rFonts w:hint="eastAsia" w:ascii="宋体" w:hAnsi="宋体" w:eastAsia="宋体" w:cs="宋体"/>
          <w:b/>
          <w:bCs/>
          <w:color w:val="auto"/>
          <w:sz w:val="24"/>
          <w:szCs w:val="24"/>
          <w:highlight w:val="none"/>
        </w:rPr>
        <w:t>的拒收</w:t>
      </w:r>
    </w:p>
    <w:p w14:paraId="2FA8A4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拒绝接收在其规定的投标截止时间后上传的任何投标文件。</w:t>
      </w:r>
    </w:p>
    <w:p w14:paraId="23B9D63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20" w:name="_Toc20823300"/>
      <w:bookmarkStart w:id="121" w:name="_Toc16938544"/>
      <w:bookmarkStart w:id="122" w:name="_Toc513029228"/>
      <w:r>
        <w:rPr>
          <w:rFonts w:hint="eastAsia" w:ascii="宋体" w:hAnsi="宋体" w:eastAsia="宋体" w:cs="宋体"/>
          <w:b/>
          <w:bCs/>
          <w:color w:val="auto"/>
          <w:sz w:val="24"/>
          <w:szCs w:val="24"/>
          <w:highlight w:val="none"/>
        </w:rPr>
        <w:t>21、投标文件的撤回和修改</w:t>
      </w:r>
      <w:bookmarkEnd w:id="120"/>
      <w:bookmarkEnd w:id="121"/>
      <w:bookmarkEnd w:id="122"/>
    </w:p>
    <w:p w14:paraId="6EF2148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0C282FF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290C3AC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39721F8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41B50DC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0868A92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1E3F641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408B956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46F777D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23" w:name="_Toc513029229"/>
      <w:bookmarkStart w:id="124" w:name="_Toc16938545"/>
      <w:bookmarkStart w:id="125" w:name="_Toc120614218"/>
      <w:bookmarkStart w:id="126" w:name="_Toc20823301"/>
      <w:r>
        <w:rPr>
          <w:rFonts w:hint="eastAsia" w:ascii="宋体" w:hAnsi="宋体" w:eastAsia="宋体" w:cs="宋体"/>
          <w:b/>
          <w:color w:val="auto"/>
          <w:sz w:val="24"/>
          <w:szCs w:val="24"/>
          <w:highlight w:val="none"/>
        </w:rPr>
        <w:t>五、开标与评标</w:t>
      </w:r>
      <w:bookmarkEnd w:id="123"/>
      <w:bookmarkEnd w:id="124"/>
      <w:bookmarkEnd w:id="125"/>
      <w:bookmarkEnd w:id="126"/>
    </w:p>
    <w:p w14:paraId="7A92455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27" w:name="_Toc513029230"/>
      <w:bookmarkStart w:id="128" w:name="_Toc20823302"/>
      <w:bookmarkStart w:id="129" w:name="_Toc16938546"/>
      <w:r>
        <w:rPr>
          <w:rFonts w:hint="eastAsia" w:ascii="宋体" w:hAnsi="宋体" w:eastAsia="宋体" w:cs="宋体"/>
          <w:b/>
          <w:bCs/>
          <w:color w:val="auto"/>
          <w:sz w:val="24"/>
          <w:szCs w:val="24"/>
          <w:highlight w:val="none"/>
        </w:rPr>
        <w:t>22、开标</w:t>
      </w:r>
      <w:bookmarkEnd w:id="127"/>
      <w:bookmarkEnd w:id="128"/>
      <w:bookmarkEnd w:id="129"/>
    </w:p>
    <w:p w14:paraId="32C3EEA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649879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2C0EB7C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2AAED4D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7DA1273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30" w:name="_Toc20823303"/>
      <w:bookmarkStart w:id="131" w:name="_Toc513029231"/>
      <w:bookmarkStart w:id="132" w:name="_Toc16938547"/>
      <w:r>
        <w:rPr>
          <w:rFonts w:hint="eastAsia" w:ascii="宋体" w:hAnsi="宋体" w:eastAsia="宋体" w:cs="宋体"/>
          <w:b/>
          <w:bCs/>
          <w:color w:val="auto"/>
          <w:sz w:val="24"/>
          <w:szCs w:val="24"/>
          <w:highlight w:val="none"/>
        </w:rPr>
        <w:t>23、评标委员会</w:t>
      </w:r>
      <w:bookmarkEnd w:id="130"/>
      <w:bookmarkEnd w:id="131"/>
      <w:bookmarkEnd w:id="132"/>
    </w:p>
    <w:p w14:paraId="74AB406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将立即组织评标委员会（以下简称评委会）进行评标。</w:t>
      </w:r>
    </w:p>
    <w:p w14:paraId="1A40FAB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207D142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6CCF5F2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24．评标过程的保密与公正</w:t>
      </w:r>
    </w:p>
    <w:p w14:paraId="0DE767F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凡是与审查、澄清、评价和比较投标的有关资料以及授标建议等，采购人、评委、</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委托的代理机构</w:t>
      </w:r>
      <w:r>
        <w:rPr>
          <w:rFonts w:hint="eastAsia" w:ascii="宋体" w:hAnsi="宋体" w:eastAsia="宋体" w:cs="宋体"/>
          <w:color w:val="auto"/>
          <w:sz w:val="24"/>
          <w:szCs w:val="24"/>
          <w:highlight w:val="none"/>
        </w:rPr>
        <w:t>均不得向投标人或与评标无关的其他人员透露。</w:t>
      </w:r>
    </w:p>
    <w:p w14:paraId="0212878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0C69D5A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2A388E3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2E62B57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33" w:name="_Toc20823304"/>
      <w:bookmarkStart w:id="134" w:name="_Toc513029232"/>
      <w:bookmarkStart w:id="135" w:name="_Toc16938548"/>
      <w:r>
        <w:rPr>
          <w:rFonts w:hint="eastAsia" w:ascii="宋体" w:hAnsi="宋体" w:eastAsia="宋体" w:cs="宋体"/>
          <w:b/>
          <w:bCs/>
          <w:color w:val="auto"/>
          <w:sz w:val="24"/>
          <w:szCs w:val="24"/>
          <w:highlight w:val="none"/>
        </w:rPr>
        <w:t>25．投标文件的澄清</w:t>
      </w:r>
      <w:bookmarkEnd w:id="133"/>
      <w:bookmarkEnd w:id="134"/>
      <w:bookmarkEnd w:id="135"/>
    </w:p>
    <w:p w14:paraId="5E7D060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36" w:name="_Toc20823305"/>
      <w:bookmarkStart w:id="137" w:name="_Toc513029233"/>
      <w:bookmarkStart w:id="138" w:name="_Toc16938549"/>
      <w:r>
        <w:rPr>
          <w:rFonts w:hint="eastAsia" w:ascii="宋体" w:hAnsi="宋体" w:eastAsia="宋体" w:cs="宋体"/>
          <w:color w:val="auto"/>
          <w:sz w:val="24"/>
          <w:szCs w:val="24"/>
          <w:highlight w:val="none"/>
        </w:rPr>
        <w:t>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评标期间，评委会对投标文件中含义不明确、同类问题表述不一致或者有明显文字和计算错误的内容，有权要求投标人作出必要的澄清、说明或者补正。</w:t>
      </w:r>
      <w:bookmarkEnd w:id="136"/>
      <w:bookmarkEnd w:id="137"/>
      <w:bookmarkEnd w:id="138"/>
    </w:p>
    <w:p w14:paraId="58C90FC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1A86D3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44A1473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5E3746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5A0239EE">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26、对投标文件的初审</w:t>
      </w:r>
    </w:p>
    <w:p w14:paraId="21EB58E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投标文件初审分为资格审查和符合性审查。</w:t>
      </w:r>
    </w:p>
    <w:p w14:paraId="6A2C4FF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1903C0A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426EE96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232821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0750B5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将在苏采云系统中告知未通过资格审查或符合性审查的原因，评审结束后，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将不再告知未通过资格审查或符合性审查的原因。</w:t>
      </w:r>
    </w:p>
    <w:p w14:paraId="25A5B95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4605A3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FFCD07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符</w:t>
      </w:r>
      <w:r>
        <w:rPr>
          <w:rFonts w:hint="eastAsia" w:ascii="宋体" w:hAnsi="宋体" w:eastAsia="宋体" w:cs="宋体"/>
          <w:color w:val="auto"/>
          <w:sz w:val="24"/>
          <w:szCs w:val="24"/>
          <w:highlight w:val="none"/>
        </w:rPr>
        <w:t>合要求的偏离或保留而使其投标成为实质性响应的投标。</w:t>
      </w:r>
    </w:p>
    <w:p w14:paraId="64912A9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3AAD608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5BC49F2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EFD502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107E862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60ECBF9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4878878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4012FC4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39" w:name="_Toc513029234"/>
      <w:bookmarkStart w:id="140" w:name="_Toc16938550"/>
      <w:bookmarkStart w:id="141" w:name="_Toc20823306"/>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5B8954E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2DFE50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52F4B5F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p>
    <w:p w14:paraId="4CDCA33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27、无效投标条款和废标条款</w:t>
      </w:r>
    </w:p>
    <w:p w14:paraId="20301D0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42" w:name="_Toc513029235"/>
      <w:bookmarkStart w:id="143" w:name="_Toc16938551"/>
      <w:bookmarkStart w:id="144" w:name="_Toc20823307"/>
      <w:r>
        <w:rPr>
          <w:rFonts w:hint="eastAsia" w:ascii="宋体" w:hAnsi="宋体" w:eastAsia="宋体" w:cs="宋体"/>
          <w:color w:val="auto"/>
          <w:sz w:val="24"/>
          <w:szCs w:val="24"/>
          <w:highlight w:val="none"/>
        </w:rPr>
        <w:t>27.1无效投标条款</w:t>
      </w:r>
      <w:bookmarkEnd w:id="142"/>
      <w:bookmarkEnd w:id="143"/>
      <w:bookmarkEnd w:id="144"/>
    </w:p>
    <w:p w14:paraId="70036BF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430E9CA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1B71205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2D94FCB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2DABEE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363A045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78A4AE9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64D15D3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17DB7B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 投标文件含有采购人不能接受的附加条件的。</w:t>
      </w:r>
    </w:p>
    <w:p w14:paraId="30278C4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（一）评审过程中出现下列情形之一的，评标委员会应当启动异常低价投标审查程序：</w:t>
      </w:r>
    </w:p>
    <w:p w14:paraId="07D8563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1.投标报价低于采购项目预算50%的，即投标报价&lt;采购项目预算×50%；</w:t>
      </w:r>
    </w:p>
    <w:p w14:paraId="504B071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2.投标报价低于采购项目最高限价45%的，即投标报价&lt;采购项目最高限价×45%；</w:t>
      </w:r>
    </w:p>
    <w:p w14:paraId="05605E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3.评标委员会认定的供应商报价过低、有可能影响产品质量或者不能诚信履约的其他情形。</w:t>
      </w:r>
    </w:p>
    <w:p w14:paraId="0DC8FFE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0839196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BD2AD2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投标文件未按照招标文件要求加盖CA电子公章的。</w:t>
      </w:r>
    </w:p>
    <w:p w14:paraId="62F8508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 投标人IP地址、MAC地址、标书编制工具客户端标识码信息一致（以苏彩云系统显示为准）。</w:t>
      </w:r>
    </w:p>
    <w:p w14:paraId="1FB760E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其他法律、法规及本招标文件规定的属无效投标的情形。</w:t>
      </w:r>
    </w:p>
    <w:p w14:paraId="240432E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27.2废标条款</w:t>
      </w:r>
    </w:p>
    <w:p w14:paraId="7640BFB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w:t>
      </w:r>
    </w:p>
    <w:p w14:paraId="42BA124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27.2.2出现影响采购公正的违法、违规行为的。</w:t>
      </w:r>
    </w:p>
    <w:p w14:paraId="13222ED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5DDE6CF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52AD8AB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05D60BD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72C848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5E8141B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45" w:name="_Toc120614219"/>
      <w:r>
        <w:rPr>
          <w:rFonts w:hint="eastAsia" w:ascii="宋体" w:hAnsi="宋体" w:eastAsia="宋体" w:cs="宋体"/>
          <w:b/>
          <w:color w:val="auto"/>
          <w:sz w:val="24"/>
          <w:szCs w:val="24"/>
          <w:highlight w:val="none"/>
        </w:rPr>
        <w:t>六、定标</w:t>
      </w:r>
      <w:bookmarkEnd w:id="145"/>
    </w:p>
    <w:p w14:paraId="28A054F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46" w:name="_Toc20823310"/>
      <w:bookmarkStart w:id="147" w:name="_Toc513029238"/>
      <w:bookmarkStart w:id="148" w:name="_Toc16938554"/>
      <w:r>
        <w:rPr>
          <w:rFonts w:hint="eastAsia" w:ascii="宋体" w:hAnsi="宋体" w:eastAsia="宋体" w:cs="宋体"/>
          <w:b/>
          <w:bCs/>
          <w:color w:val="auto"/>
          <w:sz w:val="24"/>
          <w:szCs w:val="24"/>
          <w:highlight w:val="none"/>
        </w:rPr>
        <w:t>28、</w:t>
      </w:r>
      <w:bookmarkEnd w:id="146"/>
      <w:r>
        <w:rPr>
          <w:rFonts w:hint="eastAsia" w:ascii="宋体" w:hAnsi="宋体" w:eastAsia="宋体" w:cs="宋体"/>
          <w:b/>
          <w:bCs/>
          <w:color w:val="auto"/>
          <w:sz w:val="24"/>
          <w:szCs w:val="24"/>
          <w:highlight w:val="none"/>
        </w:rPr>
        <w:t>确定</w:t>
      </w:r>
      <w:bookmarkEnd w:id="147"/>
      <w:bookmarkEnd w:id="148"/>
      <w:r>
        <w:rPr>
          <w:rFonts w:hint="eastAsia" w:ascii="宋体" w:hAnsi="宋体" w:eastAsia="宋体" w:cs="宋体"/>
          <w:b/>
          <w:bCs/>
          <w:color w:val="auto"/>
          <w:sz w:val="24"/>
          <w:szCs w:val="24"/>
          <w:highlight w:val="none"/>
        </w:rPr>
        <w:t>中标单位</w:t>
      </w:r>
    </w:p>
    <w:p w14:paraId="1FFB65E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2ADE4D4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39DB5C9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发布中标公告，公告期限为1个工作日。</w:t>
      </w:r>
    </w:p>
    <w:p w14:paraId="29E45A6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4E86647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4F5657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行贿或者提供其他不正当利益的。</w:t>
      </w:r>
    </w:p>
    <w:p w14:paraId="3118100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6885542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682DCC5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4654601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49" w:name="_Toc200451960"/>
      <w:r>
        <w:rPr>
          <w:rFonts w:hint="eastAsia" w:ascii="宋体" w:hAnsi="宋体" w:eastAsia="宋体" w:cs="宋体"/>
          <w:color w:val="auto"/>
          <w:sz w:val="24"/>
          <w:szCs w:val="24"/>
          <w:highlight w:val="none"/>
        </w:rPr>
        <w:t>28.5.有下列情形之一的，视为投标人串通投标，投标无效：</w:t>
      </w:r>
      <w:bookmarkEnd w:id="149"/>
    </w:p>
    <w:p w14:paraId="469B280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02D5E87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0033EE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4F7AEAA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044ADE0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29、质疑处理</w:t>
      </w:r>
    </w:p>
    <w:p w14:paraId="7AB27FC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784FB63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或采购人提出质疑。</w:t>
      </w:r>
    </w:p>
    <w:p w14:paraId="6F2D56D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上述应知其权益受到损害之日，是指：</w:t>
      </w:r>
    </w:p>
    <w:p w14:paraId="6600DFE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42F2A0F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w:t>
      </w:r>
    </w:p>
    <w:p w14:paraId="5D835FA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29.2.3对中标或者成交结果提出质疑的，为中标或者成交结果公告期限届满之日。</w:t>
      </w:r>
    </w:p>
    <w:p w14:paraId="21933F0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、采购人将只对供应商第一次质疑作出答复。</w:t>
      </w:r>
    </w:p>
    <w:p w14:paraId="13E7D3E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7113ACE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负责答复。</w:t>
      </w:r>
    </w:p>
    <w:p w14:paraId="11C4F01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不接受未填写快递运单的快件。</w:t>
      </w:r>
    </w:p>
    <w:p w14:paraId="03A3845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质疑受理部门：</w:t>
      </w:r>
      <w:r>
        <w:rPr>
          <w:rFonts w:hint="eastAsia" w:ascii="宋体" w:hAnsi="宋体" w:eastAsia="宋体" w:cs="宋体"/>
          <w:color w:val="auto"/>
          <w:sz w:val="24"/>
          <w:szCs w:val="24"/>
          <w:highlight w:val="none"/>
          <w:lang w:eastAsia="zh-CN"/>
        </w:rPr>
        <w:t>江苏省东台中等专业学校</w:t>
      </w:r>
    </w:p>
    <w:p w14:paraId="4B12D32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val="en-US" w:eastAsia="zh-CN"/>
        </w:rPr>
        <w:t>江苏省东台市富民路2号</w:t>
      </w:r>
    </w:p>
    <w:p w14:paraId="7D17160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13912516822</w:t>
      </w:r>
      <w:r>
        <w:rPr>
          <w:rFonts w:hint="eastAsia" w:ascii="宋体" w:hAnsi="宋体" w:eastAsia="宋体" w:cs="宋体"/>
          <w:color w:val="auto"/>
          <w:sz w:val="24"/>
          <w:szCs w:val="24"/>
          <w:highlight w:val="none"/>
        </w:rPr>
        <w:t xml:space="preserve">   </w:t>
      </w:r>
    </w:p>
    <w:p w14:paraId="3827AB6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29.5 以下情形的质疑不予受理</w:t>
      </w:r>
    </w:p>
    <w:p w14:paraId="702D621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9F5940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13AA724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747E80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57D8176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4DAC89D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4FB807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30、中标通知书</w:t>
      </w:r>
    </w:p>
    <w:p w14:paraId="1E5086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30.l中标结果确定后，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将向中标人发出中标通知书。</w:t>
      </w:r>
    </w:p>
    <w:p w14:paraId="2C1DCAA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3B1E0A2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50" w:name="_Toc16938552"/>
      <w:bookmarkStart w:id="151" w:name="_Toc20823308"/>
      <w:bookmarkStart w:id="152" w:name="_Toc513029236"/>
      <w:bookmarkStart w:id="153" w:name="_Toc120614220"/>
      <w:r>
        <w:rPr>
          <w:rFonts w:hint="eastAsia" w:ascii="宋体" w:hAnsi="宋体" w:eastAsia="宋体" w:cs="宋体"/>
          <w:b/>
          <w:color w:val="auto"/>
          <w:sz w:val="24"/>
          <w:szCs w:val="24"/>
          <w:highlight w:val="none"/>
        </w:rPr>
        <w:t>七、授予合同</w:t>
      </w:r>
      <w:bookmarkEnd w:id="150"/>
      <w:bookmarkEnd w:id="151"/>
      <w:bookmarkEnd w:id="152"/>
      <w:bookmarkEnd w:id="153"/>
    </w:p>
    <w:p w14:paraId="530E7C2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54" w:name="_Toc16938553"/>
      <w:bookmarkStart w:id="155" w:name="_Toc513029237"/>
      <w:bookmarkStart w:id="156" w:name="_Toc20823309"/>
      <w:r>
        <w:rPr>
          <w:rFonts w:hint="eastAsia" w:ascii="宋体" w:hAnsi="宋体" w:eastAsia="宋体" w:cs="宋体"/>
          <w:b/>
          <w:bCs/>
          <w:color w:val="auto"/>
          <w:sz w:val="24"/>
          <w:szCs w:val="24"/>
          <w:highlight w:val="none"/>
        </w:rPr>
        <w:t>31. 签订合同</w:t>
      </w:r>
      <w:bookmarkEnd w:id="154"/>
      <w:bookmarkEnd w:id="155"/>
      <w:bookmarkEnd w:id="156"/>
    </w:p>
    <w:p w14:paraId="3135D2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31.l中标人应当在中标通知书发出之日起三十日内，按照招标文件确定的事项与采购人签订政府采购合同。</w:t>
      </w:r>
    </w:p>
    <w:p w14:paraId="4F8E4E8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3377C19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购人损失的，中标人应承担相应赔偿责任。</w:t>
      </w:r>
    </w:p>
    <w:p w14:paraId="311328E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32、货物（包含与货物相关的服务）的追加</w:t>
      </w:r>
    </w:p>
    <w:p w14:paraId="15072F4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004AA7D">
      <w:pPr>
        <w:pStyle w:val="13"/>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33.政府采购政策功能落实</w:t>
      </w:r>
    </w:p>
    <w:p w14:paraId="1EF2571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4417C05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587BE74C">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33.2进口产品</w:t>
      </w:r>
    </w:p>
    <w:p w14:paraId="194366B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EC5B23">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33.3中小企业、监狱企业及残疾人福利性单位</w:t>
      </w:r>
    </w:p>
    <w:p w14:paraId="5AAA7C7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.3.1中小企业定义：</w:t>
      </w:r>
    </w:p>
    <w:p w14:paraId="68B4F45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2BDCE43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55D0E99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528F3E0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2C44319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7E3449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36D5271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5F7F53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0A793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5D137D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ED065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4E9834D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75B0FC2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0782641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6C5DFF7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8C1A6A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4B009E9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4CEE478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039983A8">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33.4政府采购节能产品、环境标志产品</w:t>
      </w:r>
    </w:p>
    <w:p w14:paraId="6AB2C178">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58662BDD">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E562E43">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33.4.3本项目中《节能产品政府采购品目清单》中的产品有</w:t>
      </w:r>
      <w:r>
        <w:rPr>
          <w:rFonts w:hint="eastAsia" w:ascii="宋体" w:hAnsi="宋体" w:eastAsia="宋体" w:cs="宋体"/>
          <w:color w:val="auto"/>
          <w:kern w:val="0"/>
          <w:sz w:val="24"/>
          <w:szCs w:val="24"/>
          <w:highlight w:val="none"/>
          <w:u w:val="single"/>
        </w:rPr>
        <w:t xml:space="preserve"> 实物投影仪、风管机空调 </w:t>
      </w:r>
      <w:r>
        <w:rPr>
          <w:rFonts w:hint="eastAsia" w:ascii="宋体" w:hAnsi="宋体" w:eastAsia="宋体" w:cs="宋体"/>
          <w:color w:val="auto"/>
          <w:kern w:val="0"/>
          <w:sz w:val="24"/>
          <w:szCs w:val="24"/>
          <w:highlight w:val="none"/>
        </w:rPr>
        <w:t>。《环境标志产品政府采购品目清单》中的产品有</w:t>
      </w:r>
      <w:r>
        <w:rPr>
          <w:rFonts w:hint="eastAsia" w:ascii="宋体" w:hAnsi="宋体" w:eastAsia="宋体" w:cs="宋体"/>
          <w:color w:val="auto"/>
          <w:kern w:val="0"/>
          <w:sz w:val="24"/>
          <w:szCs w:val="24"/>
          <w:highlight w:val="none"/>
          <w:u w:val="single"/>
        </w:rPr>
        <w:t xml:space="preserve"> 实物投影仪、风管机空调、多媒体讲台、学生桌椅、会计专用桌椅 </w:t>
      </w:r>
      <w:r>
        <w:rPr>
          <w:rFonts w:hint="eastAsia" w:ascii="宋体" w:hAnsi="宋体" w:eastAsia="宋体" w:cs="宋体"/>
          <w:color w:val="auto"/>
          <w:kern w:val="0"/>
          <w:sz w:val="24"/>
          <w:szCs w:val="24"/>
          <w:highlight w:val="none"/>
        </w:rPr>
        <w:t>。</w:t>
      </w:r>
    </w:p>
    <w:p w14:paraId="35C5137F">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6045DE2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180840B">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58A68DF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3FB7FFC2">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58DD71B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2CFA546">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33.8履约保证金政策</w:t>
      </w:r>
    </w:p>
    <w:p w14:paraId="49C6B509">
      <w:pPr>
        <w:pStyle w:val="25"/>
        <w:pageBreakBefore w:val="0"/>
        <w:widowControl w:val="0"/>
        <w:kinsoku/>
        <w:wordWrap/>
        <w:overflowPunct/>
        <w:topLinePunct w:val="0"/>
        <w:autoSpaceDE/>
        <w:autoSpaceDN/>
        <w:bidi w:val="0"/>
        <w:adjustRightInd/>
        <w:snapToGrid/>
        <w:spacing w:after="0"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703888FB">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9F1A645">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6E8A5C9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4919A5E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4443273E">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w:t>
      </w:r>
      <w:r>
        <w:rPr>
          <w:rFonts w:hint="eastAsia" w:ascii="宋体" w:hAnsi="宋体" w:eastAsia="宋体" w:cs="宋体"/>
          <w:color w:val="auto"/>
          <w:sz w:val="24"/>
          <w:highlight w:val="none"/>
        </w:rPr>
        <w:t>预付款比例为</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00B5A733">
      <w:pPr>
        <w:pStyle w:val="13"/>
        <w:spacing w:beforeAutospacing="0" w:afterAutospacing="0" w:line="0" w:lineRule="atLeast"/>
        <w:jc w:val="both"/>
        <w:rPr>
          <w:color w:val="auto"/>
          <w:highlight w:val="none"/>
        </w:rPr>
      </w:pPr>
      <w:r>
        <w:rPr>
          <w:color w:val="auto"/>
          <w:highlight w:val="none"/>
        </w:rPr>
        <w:t> </w:t>
      </w:r>
    </w:p>
    <w:p w14:paraId="7B05C6D8">
      <w:pPr>
        <w:widowControl/>
        <w:spacing w:line="360" w:lineRule="auto"/>
        <w:jc w:val="center"/>
        <w:rPr>
          <w:color w:val="auto"/>
          <w:sz w:val="36"/>
          <w:szCs w:val="44"/>
          <w:highlight w:val="none"/>
        </w:rPr>
      </w:pPr>
      <w:r>
        <w:rPr>
          <w:color w:val="auto"/>
          <w:sz w:val="36"/>
          <w:szCs w:val="44"/>
          <w:highlight w:val="none"/>
        </w:rPr>
        <w:t> </w:t>
      </w:r>
      <w:bookmarkStart w:id="157" w:name="_Toc479757211"/>
      <w:bookmarkStart w:id="158" w:name="_Hlt16619350"/>
      <w:bookmarkStart w:id="159" w:name="_Toc120614244"/>
      <w:bookmarkStart w:id="160" w:name="_Toc16938590"/>
      <w:bookmarkStart w:id="161" w:name="_Toc20823346"/>
      <w:bookmarkStart w:id="162" w:name="_Toc462564139"/>
      <w:bookmarkStart w:id="163" w:name="_Hlt16619369"/>
    </w:p>
    <w:p w14:paraId="4D85109A">
      <w:pPr>
        <w:rPr>
          <w:color w:val="auto"/>
          <w:sz w:val="36"/>
          <w:szCs w:val="44"/>
          <w:highlight w:val="none"/>
        </w:rPr>
      </w:pPr>
      <w:r>
        <w:rPr>
          <w:color w:val="auto"/>
          <w:sz w:val="36"/>
          <w:szCs w:val="44"/>
          <w:highlight w:val="none"/>
        </w:rPr>
        <w:br w:type="page"/>
      </w:r>
    </w:p>
    <w:p w14:paraId="6D2EADF3">
      <w:pPr>
        <w:widowControl/>
        <w:spacing w:line="360" w:lineRule="auto"/>
        <w:jc w:val="center"/>
        <w:rPr>
          <w:rFonts w:ascii="宋体" w:hAnsi="宋体" w:cs="宋体"/>
          <w:b/>
          <w:color w:val="auto"/>
          <w:sz w:val="48"/>
          <w:szCs w:val="44"/>
          <w:highlight w:val="none"/>
        </w:rPr>
      </w:pPr>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p>
    <w:p w14:paraId="115AC349">
      <w:pPr>
        <w:rPr>
          <w:rFonts w:ascii="宋体" w:hAnsi="宋体" w:cs="宋体"/>
          <w:color w:val="auto"/>
          <w:highlight w:val="none"/>
        </w:rPr>
      </w:pPr>
      <w:bookmarkStart w:id="164" w:name="EB6d2006462e294de090c16e672cecc3bd"/>
    </w:p>
    <w:bookmarkEnd w:id="164"/>
    <w:p w14:paraId="799459D2">
      <w:pPr>
        <w:jc w:val="center"/>
        <w:rPr>
          <w:rFonts w:ascii="宋体" w:hAnsi="宋体" w:cs="宋体"/>
          <w:color w:val="auto"/>
          <w:sz w:val="30"/>
          <w:highlight w:val="none"/>
        </w:rPr>
      </w:pPr>
      <w:bookmarkStart w:id="165" w:name="_Toc3995"/>
    </w:p>
    <w:p w14:paraId="38E4B9FD">
      <w:pPr>
        <w:pStyle w:val="18"/>
        <w:rPr>
          <w:rFonts w:ascii="宋体" w:hAnsi="宋体" w:cs="宋体"/>
          <w:color w:val="auto"/>
          <w:sz w:val="30"/>
          <w:highlight w:val="none"/>
        </w:rPr>
      </w:pPr>
    </w:p>
    <w:p w14:paraId="4F72F22E">
      <w:pPr>
        <w:pStyle w:val="18"/>
        <w:rPr>
          <w:rFonts w:ascii="宋体" w:hAnsi="宋体" w:cs="宋体"/>
          <w:color w:val="auto"/>
          <w:sz w:val="30"/>
          <w:highlight w:val="none"/>
        </w:rPr>
      </w:pPr>
    </w:p>
    <w:p w14:paraId="794714BA">
      <w:pPr>
        <w:pStyle w:val="18"/>
        <w:rPr>
          <w:rFonts w:ascii="宋体" w:hAnsi="宋体" w:cs="宋体"/>
          <w:color w:val="auto"/>
          <w:sz w:val="30"/>
          <w:highlight w:val="none"/>
        </w:rPr>
      </w:pPr>
    </w:p>
    <w:p w14:paraId="21756C07">
      <w:pPr>
        <w:jc w:val="center"/>
        <w:rPr>
          <w:rFonts w:ascii="宋体" w:hAnsi="宋体" w:cs="宋体"/>
          <w:color w:val="auto"/>
          <w:sz w:val="30"/>
          <w:highlight w:val="none"/>
        </w:rPr>
      </w:pPr>
      <w:r>
        <w:rPr>
          <w:rFonts w:hint="eastAsia" w:ascii="宋体" w:hAnsi="宋体" w:cs="宋体"/>
          <w:color w:val="auto"/>
          <w:sz w:val="30"/>
          <w:highlight w:val="none"/>
        </w:rPr>
        <w:t>政府采购货物买卖合同</w:t>
      </w:r>
    </w:p>
    <w:p w14:paraId="658110B2">
      <w:pPr>
        <w:jc w:val="center"/>
        <w:rPr>
          <w:rFonts w:ascii="宋体" w:hAnsi="宋体" w:cs="宋体"/>
          <w:color w:val="auto"/>
          <w:sz w:val="30"/>
          <w:highlight w:val="none"/>
        </w:rPr>
      </w:pPr>
    </w:p>
    <w:p w14:paraId="620F4A31">
      <w:pPr>
        <w:rPr>
          <w:rFonts w:ascii="宋体" w:hAnsi="宋体" w:cs="宋体"/>
          <w:color w:val="auto"/>
          <w:sz w:val="30"/>
          <w:highlight w:val="none"/>
        </w:rPr>
      </w:pPr>
    </w:p>
    <w:p w14:paraId="2E6EF283">
      <w:pPr>
        <w:rPr>
          <w:rFonts w:ascii="宋体" w:hAnsi="宋体" w:cs="宋体"/>
          <w:color w:val="auto"/>
          <w:sz w:val="30"/>
          <w:highlight w:val="none"/>
        </w:rPr>
      </w:pPr>
    </w:p>
    <w:p w14:paraId="248E14C2">
      <w:pPr>
        <w:pStyle w:val="18"/>
        <w:rPr>
          <w:rFonts w:ascii="宋体" w:hAnsi="宋体" w:cs="宋体"/>
          <w:color w:val="auto"/>
          <w:sz w:val="30"/>
          <w:highlight w:val="none"/>
        </w:rPr>
      </w:pPr>
    </w:p>
    <w:p w14:paraId="55D03A62">
      <w:pPr>
        <w:pStyle w:val="18"/>
        <w:rPr>
          <w:rFonts w:ascii="宋体" w:hAnsi="宋体" w:cs="宋体"/>
          <w:color w:val="auto"/>
          <w:sz w:val="30"/>
          <w:highlight w:val="none"/>
        </w:rPr>
      </w:pPr>
    </w:p>
    <w:p w14:paraId="5C71EBDD">
      <w:pPr>
        <w:pStyle w:val="18"/>
        <w:rPr>
          <w:rFonts w:ascii="宋体" w:hAnsi="宋体" w:cs="宋体"/>
          <w:color w:val="auto"/>
          <w:sz w:val="30"/>
          <w:highlight w:val="none"/>
        </w:rPr>
      </w:pPr>
    </w:p>
    <w:p w14:paraId="265D2F52">
      <w:pPr>
        <w:pStyle w:val="18"/>
        <w:rPr>
          <w:rFonts w:ascii="宋体" w:hAnsi="宋体" w:cs="宋体"/>
          <w:color w:val="auto"/>
          <w:sz w:val="30"/>
          <w:highlight w:val="none"/>
        </w:rPr>
      </w:pPr>
    </w:p>
    <w:p w14:paraId="3CA87EDA">
      <w:pPr>
        <w:pStyle w:val="18"/>
        <w:rPr>
          <w:rFonts w:ascii="宋体" w:hAnsi="宋体" w:cs="宋体"/>
          <w:color w:val="auto"/>
          <w:sz w:val="30"/>
          <w:highlight w:val="none"/>
        </w:rPr>
      </w:pPr>
    </w:p>
    <w:p w14:paraId="3BF32F86">
      <w:pPr>
        <w:pStyle w:val="18"/>
        <w:rPr>
          <w:rFonts w:ascii="宋体" w:hAnsi="宋体" w:cs="宋体"/>
          <w:color w:val="auto"/>
          <w:sz w:val="30"/>
          <w:highlight w:val="none"/>
        </w:rPr>
      </w:pPr>
    </w:p>
    <w:p w14:paraId="49FB53B8">
      <w:pPr>
        <w:pStyle w:val="18"/>
        <w:rPr>
          <w:rFonts w:ascii="宋体" w:hAnsi="宋体" w:cs="宋体"/>
          <w:color w:val="auto"/>
          <w:sz w:val="30"/>
          <w:highlight w:val="none"/>
        </w:rPr>
      </w:pPr>
    </w:p>
    <w:p w14:paraId="7DD4D35F">
      <w:pPr>
        <w:rPr>
          <w:rFonts w:ascii="宋体" w:hAnsi="宋体" w:cs="宋体"/>
          <w:color w:val="auto"/>
          <w:sz w:val="30"/>
          <w:highlight w:val="none"/>
        </w:rPr>
      </w:pPr>
    </w:p>
    <w:p w14:paraId="46AD1BB9">
      <w:pPr>
        <w:spacing w:line="360" w:lineRule="auto"/>
        <w:ind w:left="420" w:firstLine="600" w:firstLineChars="200"/>
        <w:rPr>
          <w:rFonts w:hint="eastAsia" w:ascii="宋体" w:hAnsi="宋体" w:cs="宋体" w:eastAsiaTheme="minorEastAsia"/>
          <w:color w:val="auto"/>
          <w:sz w:val="30"/>
          <w:highlight w:val="none"/>
          <w:lang w:eastAsia="zh-CN"/>
        </w:rPr>
      </w:pPr>
      <w:r>
        <w:rPr>
          <w:rFonts w:hint="eastAsia" w:ascii="宋体" w:hAnsi="宋体" w:cs="宋体"/>
          <w:color w:val="auto"/>
          <w:sz w:val="30"/>
          <w:highlight w:val="none"/>
        </w:rPr>
        <w:t>项目名称：</w:t>
      </w:r>
      <w:r>
        <w:rPr>
          <w:rFonts w:hint="eastAsia" w:ascii="宋体" w:hAnsi="宋体" w:cs="宋体"/>
          <w:color w:val="auto"/>
          <w:sz w:val="30"/>
          <w:highlight w:val="none"/>
          <w:lang w:eastAsia="zh-CN"/>
        </w:rPr>
        <w:t>江苏省东台中等专业学校大数据与财务管理实训中心项目（第二次）</w:t>
      </w:r>
    </w:p>
    <w:p w14:paraId="670B6043">
      <w:pPr>
        <w:spacing w:line="360" w:lineRule="auto"/>
        <w:ind w:left="420" w:firstLine="600" w:firstLineChars="200"/>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合同编号：</w:t>
      </w:r>
      <w:r>
        <w:rPr>
          <w:rFonts w:hint="eastAsia" w:ascii="Times New Roman" w:hAnsi="Times New Roman"/>
          <w:b/>
          <w:color w:val="auto"/>
          <w:sz w:val="32"/>
          <w:szCs w:val="32"/>
          <w:highlight w:val="none"/>
          <w:lang w:eastAsia="zh-CN"/>
        </w:rPr>
        <w:t>JSZC-320981-CCGC-G2025-0054</w:t>
      </w:r>
      <w:r>
        <w:rPr>
          <w:rFonts w:hint="eastAsia" w:ascii="Times New Roman" w:hAnsi="Times New Roman"/>
          <w:b/>
          <w:color w:val="auto"/>
          <w:sz w:val="32"/>
          <w:szCs w:val="32"/>
          <w:highlight w:val="none"/>
          <w:lang w:val="en-US" w:eastAsia="zh-CN"/>
        </w:rPr>
        <w:t>001</w:t>
      </w:r>
    </w:p>
    <w:p w14:paraId="2A6A2E25">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甲    方：</w:t>
      </w:r>
      <w:r>
        <w:rPr>
          <w:rFonts w:hint="eastAsia" w:ascii="宋体" w:hAnsi="宋体" w:cs="宋体"/>
          <w:color w:val="auto"/>
          <w:sz w:val="30"/>
          <w:highlight w:val="none"/>
          <w:lang w:val="en-US" w:eastAsia="zh-CN"/>
        </w:rPr>
        <w:t>江苏省东台中等专业学校</w:t>
      </w:r>
    </w:p>
    <w:p w14:paraId="79B09BDD">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乙    方：</w:t>
      </w:r>
    </w:p>
    <w:p w14:paraId="41D085A1">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签订时间：</w:t>
      </w:r>
    </w:p>
    <w:p w14:paraId="39C92EFE">
      <w:pPr>
        <w:rPr>
          <w:color w:val="auto"/>
          <w:highlight w:val="none"/>
        </w:rPr>
      </w:pPr>
    </w:p>
    <w:p w14:paraId="1C886791">
      <w:pPr>
        <w:rPr>
          <w:rFonts w:eastAsia="黑体"/>
          <w:color w:val="auto"/>
          <w:sz w:val="44"/>
          <w:szCs w:val="44"/>
          <w:highlight w:val="none"/>
        </w:rPr>
      </w:pPr>
      <w:r>
        <w:rPr>
          <w:rFonts w:eastAsia="黑体"/>
          <w:color w:val="auto"/>
          <w:sz w:val="44"/>
          <w:szCs w:val="44"/>
          <w:highlight w:val="none"/>
        </w:rPr>
        <w:br w:type="page" w:clear="all"/>
      </w:r>
    </w:p>
    <w:p w14:paraId="5B2A79A6">
      <w:pPr>
        <w:jc w:val="center"/>
        <w:rPr>
          <w:rFonts w:eastAsia="黑体"/>
          <w:color w:val="auto"/>
          <w:sz w:val="44"/>
          <w:szCs w:val="44"/>
          <w:highlight w:val="none"/>
        </w:rPr>
      </w:pPr>
      <w:r>
        <w:rPr>
          <w:rFonts w:hint="eastAsia" w:eastAsia="黑体"/>
          <w:color w:val="auto"/>
          <w:sz w:val="44"/>
          <w:szCs w:val="44"/>
          <w:highlight w:val="none"/>
        </w:rPr>
        <w:t>使用说明</w:t>
      </w:r>
    </w:p>
    <w:p w14:paraId="4CF3EADE">
      <w:pPr>
        <w:ind w:firstLine="640"/>
        <w:rPr>
          <w:rFonts w:ascii="仿宋_GB2312" w:hAnsi="仿宋_GB2312" w:eastAsia="仿宋_GB2312" w:cs="仿宋_GB2312"/>
          <w:color w:val="auto"/>
          <w:sz w:val="32"/>
          <w:szCs w:val="32"/>
          <w:highlight w:val="none"/>
        </w:rPr>
      </w:pPr>
    </w:p>
    <w:p w14:paraId="4729B818">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3659F4C6">
      <w:pPr>
        <w:ind w:firstLine="640" w:firstLineChars="20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1B895642">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7C213EFA">
      <w:pPr>
        <w:ind w:firstLine="880"/>
        <w:rPr>
          <w:rFonts w:eastAsia="黑体"/>
          <w:color w:val="auto"/>
          <w:sz w:val="44"/>
          <w:szCs w:val="44"/>
          <w:highlight w:val="none"/>
        </w:rPr>
        <w:sectPr>
          <w:footerReference r:id="rId3" w:type="default"/>
          <w:pgSz w:w="11906" w:h="16838"/>
          <w:pgMar w:top="1440" w:right="1080" w:bottom="1440" w:left="1080" w:header="851" w:footer="992" w:gutter="0"/>
          <w:cols w:space="425" w:num="1"/>
          <w:docGrid w:linePitch="360" w:charSpace="0"/>
        </w:sectPr>
      </w:pPr>
    </w:p>
    <w:bookmarkEnd w:id="165"/>
    <w:p w14:paraId="38AF23BA">
      <w:pPr>
        <w:keepNext/>
        <w:keepLines/>
        <w:spacing w:line="400" w:lineRule="exact"/>
        <w:jc w:val="center"/>
        <w:outlineLvl w:val="1"/>
        <w:rPr>
          <w:rFonts w:ascii="黑体" w:hAnsi="黑体" w:eastAsia="黑体"/>
          <w:b/>
          <w:bCs/>
          <w:color w:val="auto"/>
          <w:sz w:val="28"/>
          <w:szCs w:val="28"/>
          <w:highlight w:val="none"/>
        </w:rPr>
      </w:pPr>
      <w:bookmarkStart w:id="166" w:name="_Toc22209"/>
    </w:p>
    <w:p w14:paraId="237C4605">
      <w:pPr>
        <w:keepNext/>
        <w:keepLines/>
        <w:spacing w:line="400" w:lineRule="exact"/>
        <w:jc w:val="center"/>
        <w:outlineLvl w:val="1"/>
        <w:rPr>
          <w:rFonts w:ascii="黑体" w:hAnsi="华文中宋" w:eastAsia="黑体"/>
          <w:color w:val="auto"/>
          <w:sz w:val="28"/>
          <w:szCs w:val="28"/>
          <w:highlight w:val="none"/>
        </w:rPr>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166"/>
    </w:p>
    <w:p w14:paraId="14EFF8AB">
      <w:pPr>
        <w:keepNext/>
        <w:keepLines/>
        <w:spacing w:line="360" w:lineRule="auto"/>
        <w:jc w:val="center"/>
        <w:outlineLvl w:val="1"/>
        <w:rPr>
          <w:rFonts w:ascii="黑体" w:hAnsi="华文中宋" w:eastAsia="黑体"/>
          <w:color w:val="auto"/>
          <w:sz w:val="28"/>
          <w:szCs w:val="28"/>
          <w:highlight w:val="none"/>
        </w:rPr>
      </w:pPr>
    </w:p>
    <w:p w14:paraId="7B888DA6">
      <w:pPr>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甲方（全称）：</w:t>
      </w:r>
      <w:r>
        <w:rPr>
          <w:rFonts w:hint="eastAsia" w:ascii="宋体" w:hAnsi="宋体"/>
          <w:color w:val="auto"/>
          <w:sz w:val="24"/>
          <w:highlight w:val="none"/>
          <w:lang w:val="en-US" w:eastAsia="zh-CN"/>
        </w:rPr>
        <w:t>江苏省东台中等专业学校</w:t>
      </w:r>
    </w:p>
    <w:p w14:paraId="044C6797">
      <w:pPr>
        <w:spacing w:line="360" w:lineRule="auto"/>
        <w:rPr>
          <w:rFonts w:ascii="宋体" w:hAnsi="宋体"/>
          <w:color w:val="auto"/>
          <w:sz w:val="24"/>
          <w:highlight w:val="none"/>
        </w:rPr>
      </w:pPr>
      <w:r>
        <w:rPr>
          <w:rFonts w:hint="eastAsia" w:ascii="宋体" w:hAnsi="宋体"/>
          <w:color w:val="auto"/>
          <w:sz w:val="24"/>
          <w:highlight w:val="none"/>
        </w:rPr>
        <w:t>乙方（全称）：</w:t>
      </w:r>
      <w:r>
        <w:rPr>
          <w:rFonts w:ascii="宋体" w:hAnsi="宋体"/>
          <w:color w:val="auto"/>
          <w:sz w:val="24"/>
          <w:highlight w:val="none"/>
        </w:rPr>
        <w:t xml:space="preserve"> </w:t>
      </w:r>
    </w:p>
    <w:p w14:paraId="5C535640">
      <w:pPr>
        <w:spacing w:line="360" w:lineRule="auto"/>
        <w:ind w:firstLine="480"/>
        <w:rPr>
          <w:rFonts w:ascii="宋体" w:hAnsi="宋体"/>
          <w:color w:val="auto"/>
          <w:sz w:val="24"/>
          <w:highlight w:val="none"/>
        </w:rPr>
      </w:pPr>
      <w:r>
        <w:rPr>
          <w:rFonts w:hint="eastAsia" w:ascii="宋体" w:hAnsi="宋体"/>
          <w:color w:val="auto"/>
          <w:sz w:val="24"/>
          <w:highlight w:val="none"/>
        </w:rPr>
        <w:t>依据《中华人民共和国民法典</w:t>
      </w:r>
      <w:r>
        <w:rPr>
          <w:rFonts w:hint="eastAsia" w:ascii="宋体" w:hAnsi="宋体"/>
          <w:color w:val="auto"/>
          <w:sz w:val="24"/>
          <w:highlight w:val="none"/>
          <w:lang w:eastAsia="zh-CN"/>
        </w:rPr>
        <w:t>》《</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p>
    <w:p w14:paraId="543CBCEF">
      <w:pPr>
        <w:numPr>
          <w:ilvl w:val="0"/>
          <w:numId w:val="1"/>
        </w:numPr>
        <w:spacing w:line="360" w:lineRule="auto"/>
        <w:ind w:firstLine="482"/>
        <w:rPr>
          <w:rFonts w:ascii="宋体" w:hAnsi="宋体"/>
          <w:b/>
          <w:color w:val="auto"/>
          <w:sz w:val="24"/>
          <w:highlight w:val="none"/>
        </w:rPr>
      </w:pPr>
      <w:r>
        <w:rPr>
          <w:rFonts w:hint="eastAsia" w:ascii="宋体" w:hAnsi="宋体"/>
          <w:b/>
          <w:color w:val="auto"/>
          <w:sz w:val="24"/>
          <w:highlight w:val="none"/>
        </w:rPr>
        <w:t>项目信息</w:t>
      </w:r>
    </w:p>
    <w:p w14:paraId="281F0DA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采购项目名称：</w:t>
      </w:r>
      <w:r>
        <w:rPr>
          <w:rFonts w:hint="eastAsia" w:ascii="宋体" w:hAnsi="宋体"/>
          <w:color w:val="auto"/>
          <w:sz w:val="24"/>
          <w:highlight w:val="none"/>
          <w:lang w:eastAsia="zh-CN"/>
        </w:rPr>
        <w:t>江苏省东台中等专业学校大数据与财务管理实训中心项目（第二次）</w:t>
      </w:r>
    </w:p>
    <w:p w14:paraId="0D4AB940">
      <w:pPr>
        <w:keepNext w:val="0"/>
        <w:keepLines w:val="0"/>
        <w:pageBreakBefore w:val="0"/>
        <w:kinsoku/>
        <w:wordWrap/>
        <w:overflowPunct/>
        <w:topLinePunct w:val="0"/>
        <w:bidi w:val="0"/>
        <w:spacing w:line="360" w:lineRule="auto"/>
        <w:ind w:left="0" w:leftChars="0" w:firstLine="960" w:firstLineChars="400"/>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rPr>
        <w:t>采购项目编号：</w:t>
      </w:r>
      <w:r>
        <w:rPr>
          <w:rFonts w:hint="eastAsia" w:ascii="宋体" w:hAnsi="宋体"/>
          <w:color w:val="auto"/>
          <w:sz w:val="24"/>
          <w:highlight w:val="none"/>
          <w:lang w:eastAsia="zh-CN"/>
        </w:rPr>
        <w:t>JSZC-320981-CCGC-G2025-0054</w:t>
      </w:r>
    </w:p>
    <w:p w14:paraId="4A2609FE">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（2）采购计划编号：</w:t>
      </w:r>
      <w:r>
        <w:rPr>
          <w:rFonts w:hint="eastAsia" w:ascii="宋体" w:hAnsi="宋体"/>
          <w:color w:val="auto"/>
          <w:sz w:val="24"/>
          <w:highlight w:val="none"/>
          <w:lang w:val="en-US" w:eastAsia="zh-CN"/>
        </w:rPr>
        <w:t>/</w:t>
      </w:r>
    </w:p>
    <w:p w14:paraId="2FC70724">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（3）项目内容：</w:t>
      </w:r>
    </w:p>
    <w:p w14:paraId="4FD2ECE0">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采购标的及数量：</w:t>
      </w:r>
    </w:p>
    <w:tbl>
      <w:tblPr>
        <w:tblStyle w:val="28"/>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3"/>
        <w:gridCol w:w="2034"/>
        <w:gridCol w:w="3009"/>
        <w:gridCol w:w="1524"/>
        <w:gridCol w:w="1224"/>
      </w:tblGrid>
      <w:tr w14:paraId="4FE31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54" w:type="dxa"/>
            <w:noWrap w:val="0"/>
            <w:vAlign w:val="center"/>
          </w:tcPr>
          <w:p w14:paraId="78C5FF84">
            <w:pPr>
              <w:jc w:val="center"/>
              <w:rPr>
                <w:color w:val="auto"/>
                <w:highlight w:val="none"/>
              </w:rPr>
            </w:pPr>
            <w:r>
              <w:rPr>
                <w:rFonts w:hint="eastAsia"/>
                <w:color w:val="auto"/>
                <w:highlight w:val="none"/>
              </w:rPr>
              <w:t>序号</w:t>
            </w:r>
          </w:p>
        </w:tc>
        <w:tc>
          <w:tcPr>
            <w:tcW w:w="2034" w:type="dxa"/>
            <w:noWrap w:val="0"/>
            <w:vAlign w:val="center"/>
          </w:tcPr>
          <w:p w14:paraId="67FD4B10">
            <w:pPr>
              <w:jc w:val="center"/>
              <w:rPr>
                <w:color w:val="auto"/>
                <w:highlight w:val="none"/>
              </w:rPr>
            </w:pPr>
            <w:r>
              <w:rPr>
                <w:rFonts w:hint="eastAsia"/>
                <w:color w:val="auto"/>
                <w:highlight w:val="none"/>
              </w:rPr>
              <w:t>名称</w:t>
            </w:r>
          </w:p>
        </w:tc>
        <w:tc>
          <w:tcPr>
            <w:tcW w:w="3009" w:type="dxa"/>
            <w:noWrap w:val="0"/>
            <w:vAlign w:val="center"/>
          </w:tcPr>
          <w:p w14:paraId="77689FE1">
            <w:pPr>
              <w:jc w:val="center"/>
              <w:rPr>
                <w:rFonts w:hint="default" w:eastAsiaTheme="minorEastAsia"/>
                <w:color w:val="auto"/>
                <w:highlight w:val="none"/>
                <w:lang w:val="en-US" w:eastAsia="zh-CN"/>
              </w:rPr>
            </w:pPr>
            <w:r>
              <w:rPr>
                <w:rFonts w:hint="eastAsia"/>
                <w:color w:val="auto"/>
                <w:highlight w:val="none"/>
                <w:lang w:val="en-US" w:eastAsia="zh-CN"/>
              </w:rPr>
              <w:t>品牌、型号（版本号）</w:t>
            </w:r>
          </w:p>
        </w:tc>
        <w:tc>
          <w:tcPr>
            <w:tcW w:w="1524" w:type="dxa"/>
            <w:noWrap w:val="0"/>
            <w:vAlign w:val="center"/>
          </w:tcPr>
          <w:p w14:paraId="6B8C12FB">
            <w:pPr>
              <w:jc w:val="center"/>
              <w:rPr>
                <w:color w:val="auto"/>
                <w:highlight w:val="none"/>
              </w:rPr>
            </w:pPr>
            <w:r>
              <w:rPr>
                <w:rFonts w:hint="eastAsia"/>
                <w:color w:val="auto"/>
                <w:highlight w:val="none"/>
              </w:rPr>
              <w:t>单位</w:t>
            </w:r>
          </w:p>
        </w:tc>
        <w:tc>
          <w:tcPr>
            <w:tcW w:w="1224" w:type="dxa"/>
            <w:noWrap w:val="0"/>
            <w:vAlign w:val="center"/>
          </w:tcPr>
          <w:p w14:paraId="1F66014A">
            <w:pPr>
              <w:jc w:val="center"/>
              <w:rPr>
                <w:color w:val="auto"/>
                <w:highlight w:val="none"/>
              </w:rPr>
            </w:pPr>
            <w:r>
              <w:rPr>
                <w:rFonts w:hint="eastAsia"/>
                <w:color w:val="auto"/>
                <w:highlight w:val="none"/>
              </w:rPr>
              <w:t>数量</w:t>
            </w:r>
          </w:p>
        </w:tc>
      </w:tr>
      <w:tr w14:paraId="606F6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75BE388F">
            <w:pPr>
              <w:keepNext w:val="0"/>
              <w:keepLines w:val="0"/>
              <w:widowControl/>
              <w:suppressLineNumbers w:val="0"/>
              <w:jc w:val="center"/>
              <w:textAlignment w:val="center"/>
              <w:rPr>
                <w:color w:val="auto"/>
                <w:highlight w:val="none"/>
              </w:rPr>
            </w:pPr>
            <w:r>
              <w:rPr>
                <w:rFonts w:hint="eastAsia" w:ascii="仿宋" w:hAnsi="仿宋" w:eastAsia="仿宋" w:cs="仿宋"/>
                <w:i w:val="0"/>
                <w:iCs w:val="0"/>
                <w:color w:val="auto"/>
                <w:kern w:val="0"/>
                <w:sz w:val="21"/>
                <w:szCs w:val="21"/>
                <w:highlight w:val="none"/>
                <w:u w:val="none"/>
                <w:lang w:val="en-US" w:eastAsia="zh-CN"/>
              </w:rPr>
              <w:t>1</w:t>
            </w:r>
          </w:p>
        </w:tc>
        <w:tc>
          <w:tcPr>
            <w:tcW w:w="2034" w:type="dxa"/>
            <w:noWrap w:val="0"/>
            <w:vAlign w:val="center"/>
          </w:tcPr>
          <w:p w14:paraId="6772E293">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53D4837C">
            <w:pPr>
              <w:jc w:val="center"/>
              <w:rPr>
                <w:rFonts w:hint="eastAsia"/>
                <w:color w:val="auto"/>
                <w:highlight w:val="none"/>
              </w:rPr>
            </w:pPr>
          </w:p>
        </w:tc>
        <w:tc>
          <w:tcPr>
            <w:tcW w:w="1524" w:type="dxa"/>
            <w:noWrap w:val="0"/>
            <w:vAlign w:val="center"/>
          </w:tcPr>
          <w:p w14:paraId="2FBDDECA">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562C39A6">
            <w:pPr>
              <w:keepNext w:val="0"/>
              <w:keepLines w:val="0"/>
              <w:widowControl/>
              <w:suppressLineNumbers w:val="0"/>
              <w:jc w:val="center"/>
              <w:textAlignment w:val="center"/>
              <w:rPr>
                <w:rFonts w:hint="eastAsia"/>
                <w:color w:val="auto"/>
                <w:highlight w:val="none"/>
              </w:rPr>
            </w:pPr>
          </w:p>
        </w:tc>
      </w:tr>
      <w:tr w14:paraId="744DE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692DAD72">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2</w:t>
            </w:r>
          </w:p>
        </w:tc>
        <w:tc>
          <w:tcPr>
            <w:tcW w:w="2034" w:type="dxa"/>
            <w:noWrap w:val="0"/>
            <w:vAlign w:val="center"/>
          </w:tcPr>
          <w:p w14:paraId="5288DD1E">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08556C69">
            <w:pPr>
              <w:jc w:val="center"/>
              <w:rPr>
                <w:rFonts w:hint="eastAsia"/>
                <w:color w:val="auto"/>
                <w:highlight w:val="none"/>
              </w:rPr>
            </w:pPr>
          </w:p>
        </w:tc>
        <w:tc>
          <w:tcPr>
            <w:tcW w:w="1524" w:type="dxa"/>
            <w:noWrap w:val="0"/>
            <w:vAlign w:val="center"/>
          </w:tcPr>
          <w:p w14:paraId="4D3FE95C">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6F2FAF48">
            <w:pPr>
              <w:keepNext w:val="0"/>
              <w:keepLines w:val="0"/>
              <w:widowControl/>
              <w:suppressLineNumbers w:val="0"/>
              <w:jc w:val="center"/>
              <w:textAlignment w:val="center"/>
              <w:rPr>
                <w:rFonts w:hint="eastAsia"/>
                <w:color w:val="auto"/>
                <w:highlight w:val="none"/>
              </w:rPr>
            </w:pPr>
          </w:p>
        </w:tc>
      </w:tr>
      <w:tr w14:paraId="32C41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039CADEB">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3</w:t>
            </w:r>
          </w:p>
        </w:tc>
        <w:tc>
          <w:tcPr>
            <w:tcW w:w="2034" w:type="dxa"/>
            <w:noWrap w:val="0"/>
            <w:vAlign w:val="center"/>
          </w:tcPr>
          <w:p w14:paraId="0AF8E6C8">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5A8D8DF3">
            <w:pPr>
              <w:jc w:val="center"/>
              <w:rPr>
                <w:rFonts w:hint="eastAsia"/>
                <w:color w:val="auto"/>
                <w:highlight w:val="none"/>
              </w:rPr>
            </w:pPr>
          </w:p>
        </w:tc>
        <w:tc>
          <w:tcPr>
            <w:tcW w:w="1524" w:type="dxa"/>
            <w:noWrap w:val="0"/>
            <w:vAlign w:val="center"/>
          </w:tcPr>
          <w:p w14:paraId="58E6184E">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39BA0C2D">
            <w:pPr>
              <w:keepNext w:val="0"/>
              <w:keepLines w:val="0"/>
              <w:widowControl/>
              <w:suppressLineNumbers w:val="0"/>
              <w:jc w:val="center"/>
              <w:textAlignment w:val="center"/>
              <w:rPr>
                <w:rFonts w:hint="eastAsia"/>
                <w:color w:val="auto"/>
                <w:highlight w:val="none"/>
              </w:rPr>
            </w:pPr>
          </w:p>
        </w:tc>
      </w:tr>
      <w:tr w14:paraId="554B8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337462E8">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4</w:t>
            </w:r>
          </w:p>
        </w:tc>
        <w:tc>
          <w:tcPr>
            <w:tcW w:w="2034" w:type="dxa"/>
            <w:noWrap w:val="0"/>
            <w:vAlign w:val="center"/>
          </w:tcPr>
          <w:p w14:paraId="50E4D979">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4F566A68">
            <w:pPr>
              <w:jc w:val="center"/>
              <w:rPr>
                <w:rFonts w:hint="eastAsia"/>
                <w:color w:val="auto"/>
                <w:highlight w:val="none"/>
              </w:rPr>
            </w:pPr>
          </w:p>
        </w:tc>
        <w:tc>
          <w:tcPr>
            <w:tcW w:w="1524" w:type="dxa"/>
            <w:noWrap w:val="0"/>
            <w:vAlign w:val="center"/>
          </w:tcPr>
          <w:p w14:paraId="43976BB7">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2218436F">
            <w:pPr>
              <w:keepNext w:val="0"/>
              <w:keepLines w:val="0"/>
              <w:widowControl/>
              <w:suppressLineNumbers w:val="0"/>
              <w:jc w:val="center"/>
              <w:textAlignment w:val="center"/>
              <w:rPr>
                <w:rFonts w:hint="eastAsia"/>
                <w:color w:val="auto"/>
                <w:highlight w:val="none"/>
              </w:rPr>
            </w:pPr>
          </w:p>
        </w:tc>
      </w:tr>
      <w:tr w14:paraId="3042C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5DC67D4A">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5</w:t>
            </w:r>
          </w:p>
        </w:tc>
        <w:tc>
          <w:tcPr>
            <w:tcW w:w="2034" w:type="dxa"/>
            <w:noWrap w:val="0"/>
            <w:vAlign w:val="center"/>
          </w:tcPr>
          <w:p w14:paraId="4B861B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lang w:eastAsia="zh-CN"/>
              </w:rPr>
            </w:pPr>
          </w:p>
        </w:tc>
        <w:tc>
          <w:tcPr>
            <w:tcW w:w="3009" w:type="dxa"/>
            <w:noWrap w:val="0"/>
            <w:vAlign w:val="center"/>
          </w:tcPr>
          <w:p w14:paraId="1C216E46">
            <w:pPr>
              <w:jc w:val="center"/>
              <w:rPr>
                <w:rFonts w:hint="eastAsia"/>
                <w:color w:val="auto"/>
                <w:highlight w:val="none"/>
              </w:rPr>
            </w:pPr>
          </w:p>
        </w:tc>
        <w:tc>
          <w:tcPr>
            <w:tcW w:w="1524" w:type="dxa"/>
            <w:noWrap w:val="0"/>
            <w:vAlign w:val="center"/>
          </w:tcPr>
          <w:p w14:paraId="7DE59677">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2B22A9AD">
            <w:pPr>
              <w:keepNext w:val="0"/>
              <w:keepLines w:val="0"/>
              <w:widowControl/>
              <w:suppressLineNumbers w:val="0"/>
              <w:jc w:val="center"/>
              <w:textAlignment w:val="center"/>
              <w:rPr>
                <w:rFonts w:hint="eastAsia"/>
                <w:color w:val="auto"/>
                <w:highlight w:val="none"/>
              </w:rPr>
            </w:pPr>
          </w:p>
        </w:tc>
      </w:tr>
      <w:tr w14:paraId="6D0F2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6EAD5BBE">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6</w:t>
            </w:r>
          </w:p>
        </w:tc>
        <w:tc>
          <w:tcPr>
            <w:tcW w:w="2034" w:type="dxa"/>
            <w:noWrap w:val="0"/>
            <w:vAlign w:val="center"/>
          </w:tcPr>
          <w:p w14:paraId="01BFA0B6">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0F4095E4">
            <w:pPr>
              <w:jc w:val="center"/>
              <w:rPr>
                <w:rFonts w:hint="eastAsia"/>
                <w:color w:val="auto"/>
                <w:highlight w:val="none"/>
              </w:rPr>
            </w:pPr>
          </w:p>
        </w:tc>
        <w:tc>
          <w:tcPr>
            <w:tcW w:w="1524" w:type="dxa"/>
            <w:noWrap w:val="0"/>
            <w:vAlign w:val="center"/>
          </w:tcPr>
          <w:p w14:paraId="5E7043EC">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5DC60CB1">
            <w:pPr>
              <w:keepNext w:val="0"/>
              <w:keepLines w:val="0"/>
              <w:widowControl/>
              <w:suppressLineNumbers w:val="0"/>
              <w:jc w:val="center"/>
              <w:textAlignment w:val="center"/>
              <w:rPr>
                <w:rFonts w:hint="eastAsia"/>
                <w:color w:val="auto"/>
                <w:highlight w:val="none"/>
              </w:rPr>
            </w:pPr>
          </w:p>
        </w:tc>
      </w:tr>
      <w:tr w14:paraId="41666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1B4F0C53">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7</w:t>
            </w:r>
          </w:p>
        </w:tc>
        <w:tc>
          <w:tcPr>
            <w:tcW w:w="2034" w:type="dxa"/>
            <w:noWrap w:val="0"/>
            <w:vAlign w:val="center"/>
          </w:tcPr>
          <w:p w14:paraId="2E99D987">
            <w:pPr>
              <w:keepNext w:val="0"/>
              <w:keepLines w:val="0"/>
              <w:widowControl/>
              <w:suppressLineNumbers w:val="0"/>
              <w:jc w:val="center"/>
              <w:textAlignment w:val="center"/>
              <w:rPr>
                <w:rFonts w:hint="eastAsia"/>
                <w:color w:val="auto"/>
                <w:highlight w:val="none"/>
              </w:rPr>
            </w:pPr>
          </w:p>
        </w:tc>
        <w:tc>
          <w:tcPr>
            <w:tcW w:w="3009" w:type="dxa"/>
            <w:noWrap w:val="0"/>
            <w:vAlign w:val="center"/>
          </w:tcPr>
          <w:p w14:paraId="5CB972E3">
            <w:pPr>
              <w:jc w:val="center"/>
              <w:rPr>
                <w:rFonts w:hint="eastAsia"/>
                <w:color w:val="auto"/>
                <w:highlight w:val="none"/>
              </w:rPr>
            </w:pPr>
          </w:p>
        </w:tc>
        <w:tc>
          <w:tcPr>
            <w:tcW w:w="1524" w:type="dxa"/>
            <w:noWrap w:val="0"/>
            <w:vAlign w:val="center"/>
          </w:tcPr>
          <w:p w14:paraId="4137C41F">
            <w:pPr>
              <w:keepNext w:val="0"/>
              <w:keepLines w:val="0"/>
              <w:widowControl/>
              <w:suppressLineNumbers w:val="0"/>
              <w:jc w:val="center"/>
              <w:textAlignment w:val="center"/>
              <w:rPr>
                <w:rFonts w:hint="eastAsia"/>
                <w:color w:val="auto"/>
                <w:highlight w:val="none"/>
                <w:lang w:eastAsia="zh-CN"/>
              </w:rPr>
            </w:pPr>
          </w:p>
        </w:tc>
        <w:tc>
          <w:tcPr>
            <w:tcW w:w="1224" w:type="dxa"/>
            <w:noWrap w:val="0"/>
            <w:vAlign w:val="center"/>
          </w:tcPr>
          <w:p w14:paraId="4CE1DCB5">
            <w:pPr>
              <w:keepNext w:val="0"/>
              <w:keepLines w:val="0"/>
              <w:widowControl/>
              <w:suppressLineNumbers w:val="0"/>
              <w:jc w:val="center"/>
              <w:textAlignment w:val="center"/>
              <w:rPr>
                <w:rFonts w:hint="eastAsia"/>
                <w:color w:val="auto"/>
                <w:highlight w:val="none"/>
                <w:lang w:eastAsia="zh-CN"/>
              </w:rPr>
            </w:pPr>
          </w:p>
        </w:tc>
      </w:tr>
      <w:tr w14:paraId="0B2AB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jc w:val="center"/>
        </w:trPr>
        <w:tc>
          <w:tcPr>
            <w:tcW w:w="1054" w:type="dxa"/>
            <w:noWrap w:val="0"/>
            <w:vAlign w:val="center"/>
          </w:tcPr>
          <w:p w14:paraId="4B1A2120">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8</w:t>
            </w:r>
          </w:p>
        </w:tc>
        <w:tc>
          <w:tcPr>
            <w:tcW w:w="2034" w:type="dxa"/>
            <w:noWrap w:val="0"/>
            <w:vAlign w:val="center"/>
          </w:tcPr>
          <w:p w14:paraId="496F2100">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3FE356D0">
            <w:pPr>
              <w:jc w:val="center"/>
              <w:rPr>
                <w:rFonts w:hint="eastAsia"/>
                <w:color w:val="auto"/>
                <w:highlight w:val="none"/>
              </w:rPr>
            </w:pPr>
          </w:p>
        </w:tc>
        <w:tc>
          <w:tcPr>
            <w:tcW w:w="1524" w:type="dxa"/>
            <w:noWrap w:val="0"/>
            <w:vAlign w:val="center"/>
          </w:tcPr>
          <w:p w14:paraId="5EF0893A">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4B5372C5">
            <w:pPr>
              <w:keepNext w:val="0"/>
              <w:keepLines w:val="0"/>
              <w:widowControl/>
              <w:suppressLineNumbers w:val="0"/>
              <w:jc w:val="center"/>
              <w:textAlignment w:val="center"/>
              <w:rPr>
                <w:rFonts w:hint="eastAsia"/>
                <w:color w:val="auto"/>
                <w:highlight w:val="none"/>
              </w:rPr>
            </w:pPr>
          </w:p>
        </w:tc>
      </w:tr>
      <w:tr w14:paraId="24B6D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2C7073B1">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9</w:t>
            </w:r>
          </w:p>
        </w:tc>
        <w:tc>
          <w:tcPr>
            <w:tcW w:w="2034" w:type="dxa"/>
            <w:noWrap w:val="0"/>
            <w:vAlign w:val="center"/>
          </w:tcPr>
          <w:p w14:paraId="7ADCA31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rPr>
            </w:pPr>
          </w:p>
        </w:tc>
        <w:tc>
          <w:tcPr>
            <w:tcW w:w="3009" w:type="dxa"/>
            <w:noWrap w:val="0"/>
            <w:vAlign w:val="center"/>
          </w:tcPr>
          <w:p w14:paraId="680E5E15">
            <w:pPr>
              <w:jc w:val="center"/>
              <w:rPr>
                <w:rFonts w:hint="eastAsia"/>
                <w:color w:val="auto"/>
                <w:highlight w:val="none"/>
              </w:rPr>
            </w:pPr>
          </w:p>
        </w:tc>
        <w:tc>
          <w:tcPr>
            <w:tcW w:w="1524" w:type="dxa"/>
            <w:noWrap w:val="0"/>
            <w:vAlign w:val="center"/>
          </w:tcPr>
          <w:p w14:paraId="763BD483">
            <w:pPr>
              <w:keepNext w:val="0"/>
              <w:keepLines w:val="0"/>
              <w:widowControl/>
              <w:suppressLineNumbers w:val="0"/>
              <w:jc w:val="center"/>
              <w:textAlignment w:val="center"/>
              <w:rPr>
                <w:rFonts w:hint="eastAsia"/>
                <w:color w:val="auto"/>
                <w:highlight w:val="none"/>
                <w:lang w:val="en-US" w:eastAsia="zh-CN"/>
              </w:rPr>
            </w:pPr>
          </w:p>
        </w:tc>
        <w:tc>
          <w:tcPr>
            <w:tcW w:w="1224" w:type="dxa"/>
            <w:noWrap w:val="0"/>
            <w:vAlign w:val="center"/>
          </w:tcPr>
          <w:p w14:paraId="4E0EE03A">
            <w:pPr>
              <w:keepNext w:val="0"/>
              <w:keepLines w:val="0"/>
              <w:widowControl/>
              <w:suppressLineNumbers w:val="0"/>
              <w:jc w:val="center"/>
              <w:textAlignment w:val="center"/>
              <w:rPr>
                <w:rFonts w:hint="eastAsia"/>
                <w:color w:val="auto"/>
                <w:highlight w:val="none"/>
                <w:lang w:val="en-US" w:eastAsia="zh-CN"/>
              </w:rPr>
            </w:pPr>
          </w:p>
        </w:tc>
      </w:tr>
      <w:tr w14:paraId="015BC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054" w:type="dxa"/>
            <w:noWrap w:val="0"/>
            <w:vAlign w:val="center"/>
          </w:tcPr>
          <w:p w14:paraId="7F785F63">
            <w:pPr>
              <w:keepNext w:val="0"/>
              <w:keepLines w:val="0"/>
              <w:widowControl/>
              <w:suppressLineNumbers w:val="0"/>
              <w:jc w:val="center"/>
              <w:textAlignment w:val="center"/>
              <w:rPr>
                <w:rFonts w:hint="default"/>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10</w:t>
            </w:r>
          </w:p>
        </w:tc>
        <w:tc>
          <w:tcPr>
            <w:tcW w:w="2034" w:type="dxa"/>
            <w:noWrap w:val="0"/>
            <w:vAlign w:val="center"/>
          </w:tcPr>
          <w:p w14:paraId="4911223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rPr>
            </w:pPr>
          </w:p>
        </w:tc>
        <w:tc>
          <w:tcPr>
            <w:tcW w:w="3009" w:type="dxa"/>
            <w:noWrap w:val="0"/>
            <w:vAlign w:val="center"/>
          </w:tcPr>
          <w:p w14:paraId="27B3B8F7">
            <w:pPr>
              <w:jc w:val="center"/>
              <w:rPr>
                <w:rFonts w:hint="eastAsia"/>
                <w:color w:val="auto"/>
                <w:highlight w:val="none"/>
              </w:rPr>
            </w:pPr>
          </w:p>
        </w:tc>
        <w:tc>
          <w:tcPr>
            <w:tcW w:w="1524" w:type="dxa"/>
            <w:noWrap w:val="0"/>
            <w:vAlign w:val="center"/>
          </w:tcPr>
          <w:p w14:paraId="71543E4B">
            <w:pPr>
              <w:keepNext w:val="0"/>
              <w:keepLines w:val="0"/>
              <w:widowControl/>
              <w:suppressLineNumbers w:val="0"/>
              <w:jc w:val="center"/>
              <w:textAlignment w:val="center"/>
              <w:rPr>
                <w:rFonts w:hint="eastAsia"/>
                <w:color w:val="auto"/>
                <w:highlight w:val="none"/>
                <w:lang w:val="en-US" w:eastAsia="zh-CN"/>
              </w:rPr>
            </w:pPr>
          </w:p>
        </w:tc>
        <w:tc>
          <w:tcPr>
            <w:tcW w:w="1224" w:type="dxa"/>
            <w:noWrap w:val="0"/>
            <w:vAlign w:val="center"/>
          </w:tcPr>
          <w:p w14:paraId="67135013">
            <w:pPr>
              <w:keepNext w:val="0"/>
              <w:keepLines w:val="0"/>
              <w:widowControl/>
              <w:suppressLineNumbers w:val="0"/>
              <w:jc w:val="center"/>
              <w:textAlignment w:val="center"/>
              <w:rPr>
                <w:rFonts w:hint="eastAsia"/>
                <w:color w:val="auto"/>
                <w:highlight w:val="none"/>
                <w:lang w:val="en-US" w:eastAsia="zh-CN"/>
              </w:rPr>
            </w:pPr>
          </w:p>
        </w:tc>
      </w:tr>
    </w:tbl>
    <w:p w14:paraId="5270AD34">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olor w:val="auto"/>
          <w:sz w:val="24"/>
          <w:highlight w:val="none"/>
          <w:u w:val="single"/>
        </w:rPr>
      </w:pPr>
      <w:r>
        <w:rPr>
          <w:rFonts w:hint="eastAsia" w:ascii="宋体" w:hAnsi="宋体"/>
          <w:color w:val="auto"/>
          <w:sz w:val="24"/>
          <w:highlight w:val="none"/>
        </w:rPr>
        <w:t>采购标的的技术要求、商务要求具体见附件。</w:t>
      </w:r>
    </w:p>
    <w:p w14:paraId="43CEFD0B">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①涉及信息类产品，请填写该产品关键部件的品牌、型号：</w:t>
      </w:r>
    </w:p>
    <w:p w14:paraId="06C3088F">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u w:val="single"/>
        </w:rPr>
      </w:pPr>
      <w:r>
        <w:rPr>
          <w:rFonts w:hint="eastAsia" w:ascii="宋体" w:hAnsi="宋体" w:cs="宋体"/>
          <w:color w:val="auto"/>
          <w:sz w:val="24"/>
          <w:highlight w:val="none"/>
        </w:rPr>
        <w:t>标的名称：</w:t>
      </w:r>
    </w:p>
    <w:p w14:paraId="315C26ED">
      <w:pPr>
        <w:keepNext w:val="0"/>
        <w:keepLines w:val="0"/>
        <w:pageBreakBefore w:val="0"/>
        <w:kinsoku/>
        <w:wordWrap/>
        <w:overflowPunct/>
        <w:topLinePunct w:val="0"/>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12400F7">
      <w:pPr>
        <w:pStyle w:val="22"/>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关键部件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DC23129">
      <w:pPr>
        <w:pStyle w:val="22"/>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p>
    <w:p w14:paraId="5081D850">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（注：关键部件是指财政部会同有关部门发布的政府采购需求标准规定的需要通过国家有关部门指定的测评机构开展的安全可靠测评的软硬件，如CPU芯片、操作系统、数据库等。）</w:t>
      </w:r>
    </w:p>
    <w:p w14:paraId="5F76EFA8">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）政府采购组织形式：</w:t>
      </w:r>
      <w:r>
        <w:rPr>
          <w:rFonts w:ascii="Wingdings" w:hAnsi="Wingdings" w:eastAsia="Wingdings" w:cs="Wingdings"/>
          <w:color w:val="auto"/>
          <w:sz w:val="24"/>
          <w:highlight w:val="none"/>
        </w:rPr>
        <w:t></w:t>
      </w:r>
      <w:r>
        <w:rPr>
          <w:rFonts w:hint="eastAsia" w:ascii="宋体" w:hAnsi="宋体" w:cs="宋体"/>
          <w:color w:val="auto"/>
          <w:sz w:val="24"/>
          <w:highlight w:val="none"/>
        </w:rPr>
        <w:t>政府集中采购</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分散采购</w:t>
      </w:r>
    </w:p>
    <w:p w14:paraId="4EDF2F6E">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）政府采购方式：</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公开招标</w:t>
      </w:r>
      <w:r>
        <w:rPr>
          <w:rFonts w:ascii="Wingdings" w:hAnsi="Wingdings" w:eastAsia="Wingdings" w:cs="Wingdings"/>
          <w:color w:val="auto"/>
          <w:sz w:val="24"/>
          <w:highlight w:val="none"/>
        </w:rPr>
        <w:t></w:t>
      </w:r>
      <w:r>
        <w:rPr>
          <w:rFonts w:hint="eastAsia" w:ascii="宋体" w:hAnsi="宋体" w:cs="宋体"/>
          <w:color w:val="auto"/>
          <w:sz w:val="24"/>
          <w:highlight w:val="none"/>
        </w:rPr>
        <w:t>邀请招标</w:t>
      </w:r>
      <w:r>
        <w:rPr>
          <w:rFonts w:ascii="Wingdings" w:hAnsi="Wingdings" w:eastAsia="Wingdings" w:cs="Wingdings"/>
          <w:color w:val="auto"/>
          <w:sz w:val="24"/>
          <w:highlight w:val="none"/>
        </w:rPr>
        <w:t></w:t>
      </w:r>
      <w:r>
        <w:rPr>
          <w:rFonts w:hint="eastAsia" w:ascii="宋体" w:hAnsi="宋体" w:cs="宋体"/>
          <w:color w:val="auto"/>
          <w:sz w:val="24"/>
          <w:highlight w:val="none"/>
        </w:rPr>
        <w:t>竞争性谈判</w:t>
      </w:r>
      <w:r>
        <w:rPr>
          <w:rFonts w:ascii="Wingdings" w:hAnsi="Wingdings" w:eastAsia="Wingdings" w:cs="Wingdings"/>
          <w:color w:val="auto"/>
          <w:sz w:val="24"/>
          <w:highlight w:val="none"/>
        </w:rPr>
        <w:t></w:t>
      </w:r>
      <w:r>
        <w:rPr>
          <w:rFonts w:hint="eastAsia" w:ascii="宋体" w:hAnsi="宋体" w:cs="宋体"/>
          <w:color w:val="auto"/>
          <w:sz w:val="24"/>
          <w:highlight w:val="none"/>
        </w:rPr>
        <w:t>竞争性磋商</w:t>
      </w:r>
    </w:p>
    <w:p w14:paraId="6685FD16">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hint="eastAsia" w:ascii="宋体" w:hAnsi="宋体" w:cs="宋体"/>
          <w:color w:val="auto"/>
          <w:sz w:val="24"/>
          <w:highlight w:val="none"/>
        </w:rPr>
      </w:pPr>
      <w:r>
        <w:rPr>
          <w:rFonts w:ascii="Wingdings" w:hAnsi="Wingdings" w:eastAsia="Wingdings" w:cs="Wingdings"/>
          <w:color w:val="auto"/>
          <w:sz w:val="24"/>
          <w:highlight w:val="none"/>
        </w:rPr>
        <w:t></w:t>
      </w:r>
      <w:r>
        <w:rPr>
          <w:rFonts w:hint="eastAsia" w:ascii="宋体" w:hAnsi="宋体" w:cs="宋体"/>
          <w:color w:val="auto"/>
          <w:sz w:val="24"/>
          <w:highlight w:val="none"/>
        </w:rPr>
        <w:t>询价</w:t>
      </w:r>
      <w:r>
        <w:rPr>
          <w:rFonts w:ascii="Wingdings" w:hAnsi="Wingdings" w:eastAsia="Wingdings" w:cs="Wingdings"/>
          <w:color w:val="auto"/>
          <w:sz w:val="24"/>
          <w:highlight w:val="none"/>
        </w:rPr>
        <w:t></w:t>
      </w:r>
      <w:r>
        <w:rPr>
          <w:rFonts w:hint="eastAsia" w:ascii="宋体" w:hAnsi="宋体" w:cs="宋体"/>
          <w:color w:val="auto"/>
          <w:sz w:val="24"/>
          <w:highlight w:val="none"/>
        </w:rPr>
        <w:t>单一来源</w:t>
      </w:r>
      <w:r>
        <w:rPr>
          <w:rFonts w:ascii="Wingdings" w:hAnsi="Wingdings" w:eastAsia="Wingdings" w:cs="Wingdings"/>
          <w:color w:val="auto"/>
          <w:sz w:val="24"/>
          <w:highlight w:val="none"/>
        </w:rPr>
        <w:t></w:t>
      </w:r>
      <w:r>
        <w:rPr>
          <w:rFonts w:hint="eastAsia" w:ascii="宋体" w:hAnsi="宋体" w:cs="宋体"/>
          <w:color w:val="auto"/>
          <w:sz w:val="24"/>
          <w:highlight w:val="none"/>
        </w:rPr>
        <w:t>框架协议</w:t>
      </w:r>
      <w:r>
        <w:rPr>
          <w:rFonts w:ascii="Wingdings" w:hAnsi="Wingdings" w:eastAsia="Wingdings" w:cs="Wingdings"/>
          <w:color w:val="auto"/>
          <w:sz w:val="24"/>
          <w:highlight w:val="none"/>
        </w:rPr>
        <w:t></w:t>
      </w:r>
      <w:r>
        <w:rPr>
          <w:rFonts w:hint="eastAsia" w:ascii="宋体" w:hAnsi="宋体" w:cs="宋体"/>
          <w:color w:val="auto"/>
          <w:sz w:val="24"/>
          <w:highlight w:val="none"/>
        </w:rPr>
        <w:t>其他：</w:t>
      </w:r>
    </w:p>
    <w:p w14:paraId="2D48898C">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hint="eastAsia" w:ascii="宋体" w:hAnsi="宋体"/>
          <w:color w:val="auto"/>
          <w:sz w:val="24"/>
          <w:highlight w:val="none"/>
        </w:rPr>
      </w:pPr>
      <w:r>
        <w:rPr>
          <w:rFonts w:hint="eastAsia" w:ascii="宋体" w:hAnsi="宋体" w:eastAsia="华文楷体" w:cs="华文楷体"/>
          <w:color w:val="auto"/>
          <w:sz w:val="24"/>
          <w:highlight w:val="none"/>
        </w:rPr>
        <w:t>（</w:t>
      </w:r>
      <w:r>
        <w:rPr>
          <w:rFonts w:ascii="宋体" w:hAnsi="宋体" w:eastAsia="华文楷体" w:cs="华文楷体"/>
          <w:color w:val="auto"/>
          <w:sz w:val="24"/>
          <w:highlight w:val="none"/>
        </w:rPr>
        <w:t>6</w:t>
      </w:r>
      <w:r>
        <w:rPr>
          <w:rFonts w:hint="eastAsia" w:ascii="宋体" w:hAnsi="宋体" w:eastAsia="华文楷体" w:cs="华文楷体"/>
          <w:color w:val="auto"/>
          <w:sz w:val="24"/>
          <w:highlight w:val="none"/>
        </w:rPr>
        <w:t>）</w:t>
      </w:r>
      <w:r>
        <w:rPr>
          <w:rFonts w:hint="eastAsia" w:ascii="宋体" w:hAnsi="宋体"/>
          <w:color w:val="auto"/>
          <w:sz w:val="24"/>
          <w:highlight w:val="none"/>
        </w:rPr>
        <w:t>中标（成交）采购标的制造商是否为中小企业：</w:t>
      </w:r>
      <w:r>
        <w:rPr>
          <w:rFonts w:ascii="Wingdings" w:hAnsi="Wingdings" w:eastAsia="Wingdings" w:cs="Wingdings"/>
          <w:color w:val="auto"/>
          <w:sz w:val="24"/>
          <w:highlight w:val="none"/>
        </w:rPr>
        <w:sym w:font="Wingdings" w:char="00A8"/>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0A39BF81">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iCs/>
          <w:color w:val="auto"/>
          <w:sz w:val="24"/>
          <w:highlight w:val="none"/>
        </w:rPr>
      </w:pPr>
      <w:r>
        <w:rPr>
          <w:rFonts w:hint="eastAsia" w:ascii="宋体" w:hAnsi="宋体"/>
          <w:color w:val="auto"/>
          <w:sz w:val="24"/>
          <w:highlight w:val="none"/>
        </w:rPr>
        <w:t>本合同是否为专门面向中小企业的采购合同（中小企业预留合同）：</w:t>
      </w:r>
      <w:r>
        <w:rPr>
          <w:rFonts w:ascii="Wingdings" w:hAnsi="Wingdings" w:eastAsia="Wingdings" w:cs="Wingdings"/>
          <w:iCs/>
          <w:color w:val="auto"/>
          <w:sz w:val="24"/>
          <w:highlight w:val="none"/>
        </w:rPr>
        <w:sym w:font="Wingdings" w:char="00A8"/>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2F08567F">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hint="eastAsia"/>
          <w:color w:val="auto"/>
          <w:sz w:val="24"/>
          <w:highlight w:val="none"/>
        </w:rPr>
        <w:t>若本项目不专门面向中小企业采购，是否给予小微企业评审优惠：</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A8"/>
      </w:r>
      <w:r>
        <w:rPr>
          <w:rFonts w:hint="eastAsia" w:ascii="宋体" w:hAnsi="宋体"/>
          <w:iCs/>
          <w:color w:val="auto"/>
          <w:sz w:val="24"/>
          <w:highlight w:val="none"/>
        </w:rPr>
        <w:t>否</w:t>
      </w:r>
    </w:p>
    <w:p w14:paraId="03976585">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hint="eastAsia"/>
          <w:color w:val="auto"/>
          <w:sz w:val="24"/>
          <w:highlight w:val="none"/>
        </w:rPr>
        <w:t>中标（成交）采购标的制造商是否为残疾人福利性单位：</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0D36BF09">
      <w:pPr>
        <w:keepNext w:val="0"/>
        <w:keepLines w:val="0"/>
        <w:pageBreakBefore w:val="0"/>
        <w:kinsoku/>
        <w:wordWrap/>
        <w:overflowPunct/>
        <w:topLinePunct w:val="0"/>
        <w:bidi w:val="0"/>
        <w:spacing w:line="360" w:lineRule="auto"/>
        <w:ind w:left="0" w:leftChars="0" w:firstLine="480" w:firstLineChars="200"/>
        <w:textAlignment w:val="auto"/>
        <w:rPr>
          <w:color w:val="auto"/>
          <w:sz w:val="24"/>
          <w:highlight w:val="none"/>
        </w:rPr>
      </w:pPr>
      <w:r>
        <w:rPr>
          <w:rFonts w:hint="eastAsia"/>
          <w:color w:val="auto"/>
          <w:sz w:val="24"/>
          <w:highlight w:val="none"/>
        </w:rPr>
        <w:t>中标（成交）采购标的制造商是否为监狱企业：</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751538A2">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49DC36A5">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i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）中标（成交）供应商是否为外商投资企业：</w:t>
      </w:r>
      <w:r>
        <w:rPr>
          <w:rFonts w:ascii="Wingdings" w:hAnsi="Wingdings" w:eastAsia="Wingdings" w:cs="Wingdings"/>
          <w:iCs/>
          <w:color w:val="auto"/>
          <w:sz w:val="24"/>
          <w:highlight w:val="none"/>
        </w:rPr>
        <w:t></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cs="宋体"/>
          <w:iCs/>
          <w:color w:val="auto"/>
          <w:sz w:val="24"/>
          <w:highlight w:val="none"/>
        </w:rPr>
        <w:t>否</w:t>
      </w:r>
    </w:p>
    <w:p w14:paraId="70989CA2">
      <w:pPr>
        <w:keepNext w:val="0"/>
        <w:keepLines w:val="0"/>
        <w:pageBreakBefore w:val="0"/>
        <w:widowControl/>
        <w:tabs>
          <w:tab w:val="left" w:pos="1340"/>
        </w:tabs>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w:t>
      </w:r>
      <w:r>
        <w:rPr>
          <w:rFonts w:hint="eastAsia" w:ascii="宋体" w:hAnsi="宋体" w:cs="宋体"/>
          <w:iCs/>
          <w:color w:val="auto"/>
          <w:sz w:val="24"/>
          <w:highlight w:val="none"/>
        </w:rPr>
        <w:t>部分由外国投资者投资</w:t>
      </w:r>
    </w:p>
    <w:p w14:paraId="795C5A92">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p>
    <w:p w14:paraId="23BFCC19">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u w:val="single"/>
        </w:rPr>
      </w:pPr>
      <w:r>
        <w:rPr>
          <w:rFonts w:ascii="Wingdings" w:hAnsi="Wingdings" w:eastAsia="Wingdings" w:cs="Wingdings"/>
          <w:color w:val="auto"/>
          <w:sz w:val="24"/>
          <w:highlight w:val="none"/>
        </w:rPr>
        <w:t></w:t>
      </w:r>
      <w:r>
        <w:rPr>
          <w:rFonts w:hint="eastAsia" w:ascii="宋体" w:hAnsi="宋体" w:cs="宋体"/>
          <w:color w:val="auto"/>
          <w:sz w:val="24"/>
          <w:highlight w:val="none"/>
        </w:rPr>
        <w:t>是，《政府采购品目分类目录》底级品目名称：金额：</w:t>
      </w:r>
    </w:p>
    <w:p w14:paraId="3158EB61">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s="宋体"/>
          <w:color w:val="auto"/>
          <w:sz w:val="24"/>
          <w:highlight w:val="none"/>
        </w:rPr>
        <w:t xml:space="preserve">        国别：品牌： 规格型号：</w:t>
      </w:r>
    </w:p>
    <w:p w14:paraId="450446A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sym w:font="Wingdings" w:char="00FE"/>
      </w:r>
      <w:r>
        <w:rPr>
          <w:rFonts w:hint="eastAsia" w:ascii="宋体" w:hAnsi="宋体"/>
          <w:color w:val="auto"/>
          <w:sz w:val="24"/>
          <w:highlight w:val="none"/>
        </w:rPr>
        <w:t>否</w:t>
      </w:r>
    </w:p>
    <w:p w14:paraId="193A999B">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0</w:t>
      </w:r>
      <w:r>
        <w:rPr>
          <w:rFonts w:hint="eastAsia" w:ascii="宋体" w:hAnsi="宋体"/>
          <w:color w:val="auto"/>
          <w:sz w:val="24"/>
          <w:highlight w:val="none"/>
        </w:rPr>
        <w:t>）是否涉及节能产品：</w:t>
      </w:r>
    </w:p>
    <w:p w14:paraId="2C159B34">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是，《节能产品政府采购品目清单》的底级品目名称：</w:t>
      </w:r>
    </w:p>
    <w:p w14:paraId="6C776E94">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779188D0">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819DBDB">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是否涉及环境标志产品：</w:t>
      </w:r>
    </w:p>
    <w:p w14:paraId="2ED6FC32">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是，《环境标志产品政府采购品目清单》的底级品目名称：</w:t>
      </w:r>
    </w:p>
    <w:p w14:paraId="2CDEA031">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132A76C5">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0E9E76AD">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olor w:val="auto"/>
          <w:sz w:val="24"/>
          <w:highlight w:val="none"/>
        </w:rPr>
      </w:pPr>
      <w:r>
        <w:rPr>
          <w:rFonts w:hint="eastAsia" w:ascii="宋体" w:hAnsi="宋体"/>
          <w:color w:val="auto"/>
          <w:sz w:val="24"/>
          <w:highlight w:val="none"/>
        </w:rPr>
        <w:t>是否涉及绿色产品：</w:t>
      </w:r>
    </w:p>
    <w:p w14:paraId="42C2F09B">
      <w:pPr>
        <w:keepNext w:val="0"/>
        <w:keepLines w:val="0"/>
        <w:pageBreakBefore w:val="0"/>
        <w:widowControl/>
        <w:kinsoku/>
        <w:wordWrap/>
        <w:overflowPunct/>
        <w:topLinePunct w:val="0"/>
        <w:bidi w:val="0"/>
        <w:spacing w:line="360" w:lineRule="auto"/>
        <w:ind w:left="0" w:leftChars="0" w:firstLine="480" w:firstLineChars="200"/>
        <w:jc w:val="left"/>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是，绿色产品政府采购相关政策确定的底级品目名称：</w:t>
      </w:r>
    </w:p>
    <w:p w14:paraId="1C0CDAD7">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710685FA">
      <w:pPr>
        <w:keepNext w:val="0"/>
        <w:keepLines w:val="0"/>
        <w:pageBreakBefore w:val="0"/>
        <w:widowControl/>
        <w:kinsoku/>
        <w:wordWrap/>
        <w:overflowPunct/>
        <w:topLinePunct w:val="0"/>
        <w:bidi w:val="0"/>
        <w:spacing w:line="360" w:lineRule="auto"/>
        <w:ind w:left="0" w:leftChars="0" w:firstLine="480" w:firstLineChars="200"/>
        <w:jc w:val="left"/>
        <w:textAlignment w:val="auto"/>
        <w:rPr>
          <w:rFonts w:ascii="宋体" w:hAnsi="宋体" w:eastAsia="华文楷体" w:cs="华文楷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03471878">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（11）涉及商品包装和快递包装的，是否参考《商品包装政府采购需求标准（试行）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快递包装政府采购需求标准（试行）》明确产品及相关快递服务的具体包装要求：</w:t>
      </w:r>
    </w:p>
    <w:p w14:paraId="231EB12B">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不涉及</w:t>
      </w:r>
    </w:p>
    <w:p w14:paraId="0840851B">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p w14:paraId="225A151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（1）合同金额小写：</w:t>
      </w:r>
    </w:p>
    <w:p w14:paraId="070DA11A">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w:t>
      </w:r>
    </w:p>
    <w:p w14:paraId="75CAE5BA">
      <w:pPr>
        <w:keepNext w:val="0"/>
        <w:keepLines w:val="0"/>
        <w:pageBreakBefore w:val="0"/>
        <w:kinsoku/>
        <w:wordWrap/>
        <w:overflowPunct/>
        <w:topLinePunct w:val="0"/>
        <w:bidi w:val="0"/>
        <w:spacing w:line="360" w:lineRule="auto"/>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（2）付款方式（按项目实际勾选填写，具体详见专用条款第二节第12.2款）：</w:t>
      </w:r>
    </w:p>
    <w:p w14:paraId="57D86632">
      <w:pPr>
        <w:keepNext w:val="0"/>
        <w:keepLines w:val="0"/>
        <w:pageBreakBefore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lang w:val="en-US" w:eastAsia="zh-CN"/>
        </w:rPr>
        <w:t>1.所有货物安装完毕，甲方组织初步验收，初步验收合格后收到乙方发票10个工作日内甲方向乙方支付至合同总价的90%款项</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，其中涉及预付款的：</w:t>
      </w:r>
      <w:r>
        <w:rPr>
          <w:rFonts w:hint="eastAsia" w:ascii="宋体" w:hAnsi="宋体" w:eastAsia="宋体" w:cs="宋体"/>
          <w:color w:val="auto"/>
          <w:sz w:val="24"/>
          <w:szCs w:val="24"/>
          <w:highlight w:val="none"/>
          <w:u w:val="single"/>
        </w:rPr>
        <w:t xml:space="preserve"> 合同签订后30日内，支付合同金额30%的预付款</w:t>
      </w:r>
      <w:r>
        <w:rPr>
          <w:rFonts w:hint="eastAsia" w:ascii="宋体" w:hAnsi="宋体" w:eastAsia="宋体" w:cs="宋体"/>
          <w:color w:val="auto"/>
          <w:sz w:val="24"/>
          <w:szCs w:val="24"/>
          <w:highlight w:val="none"/>
          <w:u w:val="single"/>
          <w:lang w:eastAsia="zh-CN"/>
        </w:rPr>
        <w:t>（在签订合同时，乙方明确表示无需预付款或者主动要求降低预付款比例的，甲方可不适用上述关于预付款的规定。）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p>
    <w:p w14:paraId="739E5B25">
      <w:pPr>
        <w:keepNext w:val="0"/>
        <w:keepLines w:val="0"/>
        <w:pageBreakBefore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注：⑴结算时，乙方必须提供乙方单位名称的正式发票。本合同执行中相关的一切税费均由乙方负担。⑵支付方式：银行转账。⑶以上付款均无息。结算时，乙方须提供税务发票。</w:t>
      </w:r>
    </w:p>
    <w:p w14:paraId="510B5858">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合同履行</w:t>
      </w:r>
    </w:p>
    <w:p w14:paraId="73B06357">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（1）合同履行期限：</w:t>
      </w:r>
      <w:r>
        <w:rPr>
          <w:rFonts w:hint="eastAsia" w:ascii="宋体" w:hAnsi="宋体" w:eastAsia="宋体" w:cs="宋体"/>
          <w:b/>
          <w:color w:val="auto"/>
          <w:sz w:val="24"/>
          <w:szCs w:val="24"/>
          <w:highlight w:val="none"/>
          <w:u w:val="single"/>
          <w:lang w:eastAsia="zh-CN"/>
        </w:rPr>
        <w:t>合同签订后15日内全部送达招标人指定地点，并安装调试完毕（具体时间按招标人要求调整）</w:t>
      </w:r>
      <w:r>
        <w:rPr>
          <w:rFonts w:hint="eastAsia" w:ascii="宋体" w:hAnsi="宋体" w:eastAsia="宋体" w:cs="宋体"/>
          <w:color w:val="auto"/>
          <w:sz w:val="24"/>
          <w:szCs w:val="24"/>
          <w:highlight w:val="none"/>
        </w:rPr>
        <w:t>。</w:t>
      </w:r>
    </w:p>
    <w:p w14:paraId="32A97738">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（2）履约地点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F43610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履约担保：是否收取履约保证金：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p>
    <w:p w14:paraId="0563350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（保险）代替缴纳履约保证金。</w:t>
      </w:r>
    </w:p>
    <w:p w14:paraId="099EF6E4">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p>
    <w:p w14:paraId="7AEA3A8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w:t>
      </w:r>
      <w:r>
        <w:rPr>
          <w:rFonts w:hint="eastAsia" w:ascii="宋体" w:hAnsi="宋体" w:cs="宋体"/>
          <w:color w:val="auto"/>
          <w:sz w:val="24"/>
          <w:highlight w:val="none"/>
        </w:rPr>
        <w:t xml:space="preserve">      </w:t>
      </w:r>
    </w:p>
    <w:p w14:paraId="600A2421">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合同签订后30天。</w:t>
      </w:r>
    </w:p>
    <w:p w14:paraId="3AF2E2BB">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）分期履行要求：</w:t>
      </w:r>
      <w:r>
        <w:rPr>
          <w:rFonts w:hint="eastAsia" w:ascii="宋体" w:hAnsi="宋体" w:cs="宋体"/>
          <w:bCs/>
          <w:color w:val="auto"/>
          <w:sz w:val="24"/>
          <w:highlight w:val="none"/>
          <w:lang w:val="en-US" w:eastAsia="zh-CN"/>
        </w:rPr>
        <w:t>/</w:t>
      </w:r>
    </w:p>
    <w:p w14:paraId="773495A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）风险处置措施和替代方案：</w:t>
      </w:r>
      <w:r>
        <w:rPr>
          <w:rFonts w:hint="eastAsia" w:ascii="宋体" w:hAnsi="宋体" w:cs="宋体"/>
          <w:bCs/>
          <w:color w:val="auto"/>
          <w:sz w:val="24"/>
          <w:highlight w:val="none"/>
          <w:lang w:val="en-US" w:eastAsia="zh-CN"/>
        </w:rPr>
        <w:t>/</w:t>
      </w:r>
    </w:p>
    <w:p w14:paraId="612F90C0">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合同验收</w:t>
      </w:r>
    </w:p>
    <w:p w14:paraId="2DE0997C">
      <w:pPr>
        <w:keepNext w:val="0"/>
        <w:keepLines w:val="0"/>
        <w:pageBreakBefore w:val="0"/>
        <w:numPr>
          <w:ilvl w:val="0"/>
          <w:numId w:val="2"/>
        </w:numPr>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验收组织方式：</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w:t>
      </w:r>
      <w:r>
        <w:rPr>
          <w:rFonts w:hint="eastAsia" w:ascii="宋体" w:hAnsi="宋体"/>
          <w:bCs/>
          <w:color w:val="auto"/>
          <w:sz w:val="24"/>
          <w:highlight w:val="none"/>
        </w:rPr>
        <w:t>委托第三方组织</w:t>
      </w:r>
    </w:p>
    <w:p w14:paraId="2FCF4F84">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bCs/>
          <w:color w:val="auto"/>
          <w:sz w:val="24"/>
          <w:highlight w:val="none"/>
        </w:rPr>
        <w:t>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江苏省东台中等专业学校</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p>
    <w:p w14:paraId="528CD78D">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是否邀请本项目的其他供应商参加验收：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6FE9BE0D">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是否邀请专家参加验收：</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7B6293CF">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是否邀请服务对象参加验收：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3BEE785C">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是否邀请第三方检测机构参加验收：</w:t>
      </w:r>
      <w:r>
        <w:rPr>
          <w:rFonts w:ascii="Wingdings" w:hAnsi="Wingdings" w:eastAsia="Wingdings" w:cs="Wingdings"/>
          <w:color w:val="auto"/>
          <w:sz w:val="24"/>
          <w:highlight w:val="none"/>
        </w:rPr>
        <w:sym w:font="Wingdings" w:char="00A8"/>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08674377">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是否进行抽查检测：</w:t>
      </w:r>
      <w:r>
        <w:rPr>
          <w:rFonts w:ascii="Wingdings" w:hAnsi="Wingdings" w:eastAsia="Wingdings" w:cs="Wingdings"/>
          <w:color w:val="auto"/>
          <w:sz w:val="24"/>
          <w:highlight w:val="none"/>
        </w:rPr>
        <w:t></w:t>
      </w:r>
      <w:r>
        <w:rPr>
          <w:rFonts w:hint="eastAsia" w:ascii="宋体" w:hAnsi="宋体"/>
          <w:bCs/>
          <w:color w:val="auto"/>
          <w:sz w:val="24"/>
          <w:highlight w:val="none"/>
        </w:rPr>
        <w:t>是，抽查比例：</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78DBED6B">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是否存在破坏性检测：</w:t>
      </w:r>
      <w:r>
        <w:rPr>
          <w:rFonts w:ascii="Wingdings" w:hAnsi="Wingdings" w:eastAsia="Wingdings" w:cs="Wingdings"/>
          <w:color w:val="auto"/>
          <w:sz w:val="24"/>
          <w:highlight w:val="none"/>
        </w:rPr>
        <w:t></w:t>
      </w:r>
      <w:r>
        <w:rPr>
          <w:rFonts w:hint="eastAsia" w:ascii="宋体" w:hAnsi="宋体"/>
          <w:bCs/>
          <w:color w:val="auto"/>
          <w:sz w:val="24"/>
          <w:highlight w:val="none"/>
        </w:rPr>
        <w:t>是，</w:t>
      </w:r>
      <w:r>
        <w:rPr>
          <w:rFonts w:hint="eastAsia" w:ascii="宋体" w:hAnsi="宋体"/>
          <w:bCs/>
          <w:color w:val="auto"/>
          <w:sz w:val="24"/>
          <w:highlight w:val="none"/>
          <w:u w:val="single"/>
        </w:rPr>
        <w:t>（应明确对被破坏的检测产品的处理方式）</w:t>
      </w:r>
    </w:p>
    <w:p w14:paraId="01271EF3">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542BD03E">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验收组织的其他事项：</w:t>
      </w:r>
    </w:p>
    <w:p w14:paraId="1811792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（2）履约验收时间：</w:t>
      </w:r>
      <w:r>
        <w:rPr>
          <w:rFonts w:hint="eastAsia" w:ascii="宋体" w:hAnsi="宋体"/>
          <w:bCs/>
          <w:color w:val="auto"/>
          <w:sz w:val="24"/>
          <w:highlight w:val="none"/>
          <w:u w:val="single"/>
        </w:rPr>
        <w:t>供应商提出</w:t>
      </w:r>
      <w:r>
        <w:rPr>
          <w:rFonts w:hint="eastAsia" w:ascii="宋体" w:hAnsi="宋体"/>
          <w:bCs/>
          <w:color w:val="auto"/>
          <w:sz w:val="24"/>
          <w:highlight w:val="none"/>
          <w:u w:val="single"/>
          <w:lang w:val="en-US" w:eastAsia="zh-CN"/>
        </w:rPr>
        <w:t>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日内组织验收</w:t>
      </w:r>
    </w:p>
    <w:p w14:paraId="11E8D2EB">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（3）履约验收方式：</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一次性验收         </w:t>
      </w:r>
    </w:p>
    <w:p w14:paraId="4F0F1F48">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bCs/>
          <w:color w:val="auto"/>
          <w:sz w:val="24"/>
          <w:highlight w:val="none"/>
        </w:rPr>
        <w:t>（4）履约</w:t>
      </w:r>
      <w:r>
        <w:rPr>
          <w:rFonts w:hint="eastAsia" w:ascii="宋体" w:hAnsi="宋体" w:eastAsia="宋体" w:cs="宋体"/>
          <w:bCs/>
          <w:color w:val="auto"/>
          <w:sz w:val="24"/>
          <w:szCs w:val="24"/>
          <w:highlight w:val="none"/>
        </w:rPr>
        <w:t>验收程序：</w:t>
      </w:r>
      <w:r>
        <w:rPr>
          <w:rFonts w:hint="eastAsia" w:ascii="宋体" w:hAnsi="宋体" w:eastAsia="宋体" w:cs="宋体"/>
          <w:bCs/>
          <w:color w:val="auto"/>
          <w:sz w:val="24"/>
          <w:szCs w:val="24"/>
          <w:highlight w:val="none"/>
          <w:u w:val="single"/>
        </w:rPr>
        <w:t>（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p>
    <w:p w14:paraId="779501E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（5）履约验收的内容：</w:t>
      </w:r>
      <w:r>
        <w:rPr>
          <w:rFonts w:hint="eastAsia" w:ascii="宋体" w:hAnsi="宋体" w:eastAsia="宋体" w:cs="宋体"/>
          <w:bCs/>
          <w:color w:val="auto"/>
          <w:sz w:val="24"/>
          <w:szCs w:val="24"/>
          <w:highlight w:val="none"/>
          <w:u w:val="single"/>
        </w:rPr>
        <w:t>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449B604">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p>
    <w:p w14:paraId="7B8199E0">
      <w:pPr>
        <w:pStyle w:val="18"/>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single"/>
        </w:rPr>
        <w:t>验收标准具体如下：</w:t>
      </w:r>
    </w:p>
    <w:p w14:paraId="2F5FD1B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eastAsia="宋体" w:cs="宋体"/>
          <w:bCs/>
          <w:color w:val="auto"/>
          <w:sz w:val="24"/>
          <w:szCs w:val="24"/>
          <w:highlight w:val="none"/>
        </w:rPr>
        <w:t>A、产品为全新，未使用过的原装合格正品，安装质量符合各项技术标准和国家强制性</w:t>
      </w:r>
      <w:r>
        <w:rPr>
          <w:rFonts w:hint="eastAsia" w:ascii="宋体" w:hAnsi="宋体"/>
          <w:bCs/>
          <w:color w:val="auto"/>
          <w:sz w:val="24"/>
          <w:highlight w:val="none"/>
        </w:rPr>
        <w:t>标准；</w:t>
      </w:r>
    </w:p>
    <w:p w14:paraId="12C635EF">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B、货物到达现场后，乙方必须在使用单位人员在场情况下当面开箱，共同清点、检查外观，箱记录，双方签字确认。</w:t>
      </w:r>
    </w:p>
    <w:p w14:paraId="3AC5422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C、乙方应保证货物到达甲方所在地完好无损，如有缺漏、损坏，由乙方负责调换、补齐或赔偿。</w:t>
      </w:r>
    </w:p>
    <w:p w14:paraId="12A93A8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D、乙方应提供完备的技术资料、装箱单和合格证等，验收合格条件（标准）如下：</w:t>
      </w:r>
    </w:p>
    <w:p w14:paraId="7753E31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①设备技术参数与采购合同一致，性能指标达到规定的标准。</w:t>
      </w:r>
    </w:p>
    <w:p w14:paraId="2B95F149">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②货物技术资料、装箱单、合格证等资料齐全。</w:t>
      </w:r>
    </w:p>
    <w:p w14:paraId="2601B9D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③在系统试运行期间所出现的问题得到解决，并运行正常。</w:t>
      </w:r>
    </w:p>
    <w:p w14:paraId="100CDC9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④在规定时间内完成交货并验收，并经甲方确认。</w:t>
      </w:r>
    </w:p>
    <w:p w14:paraId="0F19A993">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E、乙方须完成甲方所有采购的软硬件产品安装调试工作，须符合甲方要求并试运行1个月后，才作为最终验收。</w:t>
      </w:r>
    </w:p>
    <w:p w14:paraId="0CDCC8A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bCs/>
          <w:color w:val="auto"/>
          <w:sz w:val="24"/>
          <w:highlight w:val="none"/>
        </w:rPr>
        <w:t>F、乙方提供的货物未达到采购文件规定要求，且对甲方造成损失的，由乙方承担一切责</w:t>
      </w:r>
      <w:r>
        <w:rPr>
          <w:rFonts w:hint="eastAsia" w:ascii="宋体" w:hAnsi="宋体" w:eastAsia="宋体" w:cs="宋体"/>
          <w:bCs/>
          <w:color w:val="auto"/>
          <w:sz w:val="24"/>
          <w:highlight w:val="none"/>
        </w:rPr>
        <w:t>任，并赔偿所造成的损失。</w:t>
      </w:r>
    </w:p>
    <w:p w14:paraId="4F4B83B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G、甲方可邀请国家认可的质量检测机构参加验收工作。</w:t>
      </w:r>
    </w:p>
    <w:p w14:paraId="54E89378">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H、甲方需要制造商对乙方交付的产品（包括质量、技术参数等）进行确认的，乙方须无条件配合，并出具书面确认证明。</w:t>
      </w:r>
    </w:p>
    <w:p w14:paraId="6E75654E">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I</w:t>
      </w:r>
      <w:r>
        <w:rPr>
          <w:rFonts w:hint="eastAsia" w:ascii="宋体" w:hAnsi="宋体" w:eastAsia="宋体" w:cs="宋体"/>
          <w:bCs/>
          <w:color w:val="auto"/>
          <w:sz w:val="24"/>
          <w:highlight w:val="none"/>
        </w:rPr>
        <w:t>、产品包装材料归甲方所有。</w:t>
      </w:r>
    </w:p>
    <w:p w14:paraId="0CABF57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（7）是否以采购活动中供应商提供的样品作为参考：</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sym w:font="Wingdings" w:char="00FE"/>
      </w:r>
      <w:r>
        <w:rPr>
          <w:rFonts w:hint="eastAsia" w:ascii="宋体" w:hAnsi="宋体" w:eastAsia="宋体" w:cs="宋体"/>
          <w:bCs/>
          <w:color w:val="auto"/>
          <w:sz w:val="24"/>
          <w:highlight w:val="none"/>
        </w:rPr>
        <w:t>否</w:t>
      </w:r>
    </w:p>
    <w:p w14:paraId="52A84EB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（8）履约验收其他事项：</w:t>
      </w:r>
      <w:r>
        <w:rPr>
          <w:rFonts w:hint="eastAsia" w:ascii="宋体" w:hAnsi="宋体" w:eastAsia="宋体" w:cs="宋体"/>
          <w:bCs/>
          <w:color w:val="auto"/>
          <w:sz w:val="24"/>
          <w:szCs w:val="24"/>
          <w:highlight w:val="none"/>
          <w:u w:val="single"/>
        </w:rPr>
        <w:t>本项目涉及政策法规要求办理的相关证件，由乙方负责资料收集和整理工作，并积极协助甲方报送办理相关手续，直至取得使用许可，否则甲方有权暂停支付合同价款。</w:t>
      </w:r>
    </w:p>
    <w:p w14:paraId="07DD3806">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组成合同的文件</w:t>
      </w:r>
    </w:p>
    <w:p w14:paraId="49814323">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0D356140">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28CC216A">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（2）政府采购合同专用条款</w:t>
      </w:r>
    </w:p>
    <w:p w14:paraId="0A9C9C9F">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（3）政府采购合同通用条款</w:t>
      </w:r>
    </w:p>
    <w:p w14:paraId="61D9997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（4）中标（成交）通知书</w:t>
      </w:r>
    </w:p>
    <w:p w14:paraId="14F8F411">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（5）投标（响应）文件</w:t>
      </w:r>
    </w:p>
    <w:p w14:paraId="36A16F2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（6）采购文件</w:t>
      </w:r>
    </w:p>
    <w:p w14:paraId="777B40C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（7）有关技术文件，图纸</w:t>
      </w:r>
    </w:p>
    <w:p w14:paraId="7585BAA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344DFF5F">
      <w:pPr>
        <w:keepNext w:val="0"/>
        <w:keepLines w:val="0"/>
        <w:pageBreakBefore w:val="0"/>
        <w:kinsoku/>
        <w:wordWrap/>
        <w:overflowPunct/>
        <w:topLinePunct w:val="0"/>
        <w:bidi w:val="0"/>
        <w:adjustRightInd w:val="0"/>
        <w:snapToGrid w:val="0"/>
        <w:spacing w:line="360" w:lineRule="auto"/>
        <w:ind w:left="0" w:leftChars="0" w:firstLine="422" w:firstLineChars="200"/>
        <w:textAlignment w:val="auto"/>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6E451B22">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212DB9EC">
      <w:pPr>
        <w:keepNext w:val="0"/>
        <w:keepLines w:val="0"/>
        <w:pageBreakBefore w:val="0"/>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7.合同份数</w:t>
      </w:r>
    </w:p>
    <w:p w14:paraId="26D53C8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60E2C26A">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876B241">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02FEBB6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color w:val="auto"/>
          <w:highlight w:val="none"/>
        </w:rPr>
      </w:pPr>
      <w:r>
        <w:rPr>
          <w:rFonts w:hint="eastAsia" w:ascii="宋体" w:hAnsi="宋体"/>
          <w:color w:val="auto"/>
          <w:szCs w:val="21"/>
          <w:highlight w:val="none"/>
        </w:rPr>
        <w:t>附件：具体标的及其技术要求和商务要求、联合协议、分包意向协议等。</w:t>
      </w:r>
    </w:p>
    <w:tbl>
      <w:tblPr>
        <w:tblStyle w:val="14"/>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206"/>
        <w:gridCol w:w="2814"/>
        <w:gridCol w:w="2308"/>
        <w:gridCol w:w="2471"/>
      </w:tblGrid>
      <w:tr w14:paraId="01CC42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5" w:hRule="atLeast"/>
        </w:trPr>
        <w:tc>
          <w:tcPr>
            <w:tcW w:w="5020" w:type="dxa"/>
            <w:gridSpan w:val="2"/>
            <w:tcBorders>
              <w:bottom w:val="single" w:color="000000" w:sz="2" w:space="0"/>
              <w:right w:val="single" w:color="000000" w:sz="2" w:space="0"/>
            </w:tcBorders>
            <w:vAlign w:val="center"/>
          </w:tcPr>
          <w:p w14:paraId="13108B10">
            <w:pPr>
              <w:spacing w:line="240" w:lineRule="auto"/>
              <w:jc w:val="center"/>
              <w:rPr>
                <w:color w:val="auto"/>
                <w:sz w:val="24"/>
                <w:highlight w:val="none"/>
              </w:rPr>
            </w:pPr>
            <w:r>
              <w:rPr>
                <w:color w:val="auto"/>
                <w:sz w:val="24"/>
                <w:highlight w:val="none"/>
              </w:rPr>
              <w:t>甲方</w:t>
            </w:r>
            <w:r>
              <w:rPr>
                <w:rFonts w:hint="eastAsia"/>
                <w:color w:val="auto"/>
                <w:sz w:val="24"/>
                <w:highlight w:val="none"/>
              </w:rPr>
              <w:t>（采购人</w:t>
            </w:r>
            <w:r>
              <w:rPr>
                <w:rFonts w:hint="eastAsia" w:ascii="宋体" w:hAnsi="宋体"/>
                <w:color w:val="auto"/>
                <w:sz w:val="24"/>
                <w:highlight w:val="none"/>
              </w:rPr>
              <w:t>、受采购人委托签订合同的单位或</w:t>
            </w:r>
            <w:r>
              <w:rPr>
                <w:rFonts w:hint="eastAsia"/>
                <w:color w:val="auto"/>
                <w:sz w:val="24"/>
                <w:highlight w:val="none"/>
              </w:rPr>
              <w:t>采购文件约定的合同甲方）</w:t>
            </w:r>
          </w:p>
        </w:tc>
        <w:tc>
          <w:tcPr>
            <w:tcW w:w="4779" w:type="dxa"/>
            <w:gridSpan w:val="2"/>
            <w:tcBorders>
              <w:left w:val="single" w:color="000000" w:sz="2" w:space="0"/>
              <w:bottom w:val="single" w:color="000000" w:sz="2" w:space="0"/>
            </w:tcBorders>
            <w:vAlign w:val="center"/>
          </w:tcPr>
          <w:p w14:paraId="6528976C">
            <w:pPr>
              <w:spacing w:line="240" w:lineRule="auto"/>
              <w:jc w:val="center"/>
              <w:rPr>
                <w:color w:val="auto"/>
                <w:sz w:val="24"/>
                <w:highlight w:val="none"/>
              </w:rPr>
            </w:pPr>
            <w:r>
              <w:rPr>
                <w:color w:val="auto"/>
                <w:sz w:val="24"/>
                <w:highlight w:val="none"/>
              </w:rPr>
              <w:t>乙方</w:t>
            </w:r>
            <w:r>
              <w:rPr>
                <w:rFonts w:hint="eastAsia"/>
                <w:color w:val="auto"/>
                <w:sz w:val="24"/>
                <w:highlight w:val="none"/>
              </w:rPr>
              <w:t>（供应商）</w:t>
            </w:r>
          </w:p>
        </w:tc>
      </w:tr>
      <w:tr w14:paraId="54B6F3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2206" w:type="dxa"/>
            <w:tcBorders>
              <w:top w:val="single" w:color="000000" w:sz="2" w:space="0"/>
              <w:bottom w:val="single" w:color="000000" w:sz="2" w:space="0"/>
              <w:right w:val="single" w:color="000000" w:sz="2" w:space="0"/>
            </w:tcBorders>
            <w:vAlign w:val="center"/>
          </w:tcPr>
          <w:p w14:paraId="235CA467">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814" w:type="dxa"/>
            <w:tcBorders>
              <w:top w:val="single" w:color="000000" w:sz="2" w:space="0"/>
              <w:left w:val="single" w:color="000000" w:sz="2" w:space="0"/>
              <w:bottom w:val="single" w:color="000000" w:sz="2" w:space="0"/>
              <w:right w:val="single" w:color="000000" w:sz="2" w:space="0"/>
            </w:tcBorders>
            <w:vAlign w:val="center"/>
          </w:tcPr>
          <w:p w14:paraId="6C87FBE6">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7D340498">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471" w:type="dxa"/>
            <w:tcBorders>
              <w:top w:val="single" w:color="000000" w:sz="2" w:space="0"/>
              <w:left w:val="single" w:color="000000" w:sz="2" w:space="0"/>
              <w:bottom w:val="single" w:color="000000" w:sz="2" w:space="0"/>
            </w:tcBorders>
            <w:vAlign w:val="center"/>
          </w:tcPr>
          <w:p w14:paraId="0F0F87B6">
            <w:pPr>
              <w:spacing w:line="240" w:lineRule="auto"/>
              <w:jc w:val="center"/>
              <w:rPr>
                <w:color w:val="auto"/>
                <w:spacing w:val="20"/>
                <w:sz w:val="24"/>
                <w:highlight w:val="none"/>
              </w:rPr>
            </w:pPr>
          </w:p>
        </w:tc>
      </w:tr>
      <w:tr w14:paraId="579C00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016" w:hRule="atLeast"/>
        </w:trPr>
        <w:tc>
          <w:tcPr>
            <w:tcW w:w="2206" w:type="dxa"/>
            <w:vMerge w:val="restart"/>
            <w:tcBorders>
              <w:top w:val="single" w:color="000000" w:sz="2" w:space="0"/>
              <w:right w:val="single" w:color="000000" w:sz="2" w:space="0"/>
            </w:tcBorders>
            <w:vAlign w:val="center"/>
          </w:tcPr>
          <w:p w14:paraId="25C64824">
            <w:pPr>
              <w:spacing w:line="240" w:lineRule="auto"/>
              <w:jc w:val="center"/>
              <w:rPr>
                <w:color w:val="auto"/>
                <w:sz w:val="24"/>
                <w:highlight w:val="none"/>
              </w:rPr>
            </w:pPr>
            <w:r>
              <w:rPr>
                <w:color w:val="auto"/>
                <w:sz w:val="24"/>
                <w:highlight w:val="none"/>
              </w:rPr>
              <w:t>法定代表人</w:t>
            </w:r>
          </w:p>
          <w:p w14:paraId="1E51316B">
            <w:pPr>
              <w:spacing w:line="240" w:lineRule="auto"/>
              <w:ind w:firstLine="115"/>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814" w:type="dxa"/>
            <w:vMerge w:val="restart"/>
            <w:tcBorders>
              <w:top w:val="single" w:color="000000" w:sz="2" w:space="0"/>
              <w:left w:val="single" w:color="000000" w:sz="2" w:space="0"/>
              <w:right w:val="single" w:color="000000" w:sz="2" w:space="0"/>
            </w:tcBorders>
            <w:vAlign w:val="center"/>
          </w:tcPr>
          <w:p w14:paraId="6C82F17E">
            <w:pPr>
              <w:spacing w:line="240" w:lineRule="auto"/>
              <w:jc w:val="center"/>
              <w:rPr>
                <w:color w:val="auto"/>
                <w:sz w:val="24"/>
                <w:highlight w:val="none"/>
              </w:rPr>
            </w:pPr>
          </w:p>
        </w:tc>
        <w:tc>
          <w:tcPr>
            <w:tcW w:w="2308" w:type="dxa"/>
            <w:tcBorders>
              <w:top w:val="single" w:color="000000" w:sz="2" w:space="0"/>
              <w:left w:val="single" w:color="000000" w:sz="2" w:space="0"/>
              <w:right w:val="single" w:color="000000" w:sz="2" w:space="0"/>
            </w:tcBorders>
            <w:vAlign w:val="center"/>
          </w:tcPr>
          <w:p w14:paraId="5DC8A4AE">
            <w:pPr>
              <w:spacing w:line="240" w:lineRule="auto"/>
              <w:jc w:val="center"/>
              <w:rPr>
                <w:color w:val="auto"/>
                <w:sz w:val="24"/>
                <w:highlight w:val="none"/>
              </w:rPr>
            </w:pPr>
            <w:r>
              <w:rPr>
                <w:color w:val="auto"/>
                <w:sz w:val="24"/>
                <w:highlight w:val="none"/>
              </w:rPr>
              <w:t>法定代表人</w:t>
            </w:r>
          </w:p>
          <w:p w14:paraId="0AFC13AC">
            <w:pPr>
              <w:spacing w:line="240" w:lineRule="auto"/>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471" w:type="dxa"/>
            <w:tcBorders>
              <w:top w:val="single" w:color="000000" w:sz="2" w:space="0"/>
              <w:left w:val="single" w:color="000000" w:sz="2" w:space="0"/>
              <w:bottom w:val="single" w:color="000000" w:sz="2" w:space="0"/>
            </w:tcBorders>
            <w:vAlign w:val="center"/>
          </w:tcPr>
          <w:p w14:paraId="6214C89B">
            <w:pPr>
              <w:spacing w:line="240" w:lineRule="auto"/>
              <w:jc w:val="center"/>
              <w:rPr>
                <w:color w:val="auto"/>
                <w:sz w:val="24"/>
                <w:highlight w:val="none"/>
              </w:rPr>
            </w:pPr>
          </w:p>
        </w:tc>
      </w:tr>
      <w:tr w14:paraId="12F4E11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363" w:hRule="atLeast"/>
        </w:trPr>
        <w:tc>
          <w:tcPr>
            <w:tcW w:w="2206" w:type="dxa"/>
            <w:vMerge w:val="continue"/>
            <w:tcBorders>
              <w:bottom w:val="single" w:color="000000" w:sz="2" w:space="0"/>
              <w:right w:val="single" w:color="000000" w:sz="2" w:space="0"/>
            </w:tcBorders>
            <w:vAlign w:val="center"/>
          </w:tcPr>
          <w:p w14:paraId="5E3B96AD">
            <w:pPr>
              <w:spacing w:line="240" w:lineRule="auto"/>
              <w:jc w:val="center"/>
              <w:rPr>
                <w:color w:val="auto"/>
                <w:sz w:val="24"/>
                <w:highlight w:val="none"/>
              </w:rPr>
            </w:pPr>
          </w:p>
        </w:tc>
        <w:tc>
          <w:tcPr>
            <w:tcW w:w="2814" w:type="dxa"/>
            <w:vMerge w:val="continue"/>
            <w:tcBorders>
              <w:left w:val="single" w:color="000000" w:sz="2" w:space="0"/>
              <w:bottom w:val="single" w:color="000000" w:sz="2" w:space="0"/>
              <w:right w:val="single" w:color="000000" w:sz="2" w:space="0"/>
            </w:tcBorders>
            <w:vAlign w:val="center"/>
          </w:tcPr>
          <w:p w14:paraId="2F399595">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6639B253">
            <w:pPr>
              <w:spacing w:line="240" w:lineRule="auto"/>
              <w:jc w:val="center"/>
              <w:rPr>
                <w:color w:val="auto"/>
                <w:sz w:val="24"/>
                <w:highlight w:val="none"/>
              </w:rPr>
            </w:pPr>
            <w:r>
              <w:rPr>
                <w:rFonts w:hint="eastAsia"/>
                <w:color w:val="auto"/>
                <w:sz w:val="24"/>
                <w:highlight w:val="none"/>
              </w:rPr>
              <w:t>拥有者性别</w:t>
            </w:r>
          </w:p>
        </w:tc>
        <w:tc>
          <w:tcPr>
            <w:tcW w:w="2471" w:type="dxa"/>
            <w:tcBorders>
              <w:top w:val="single" w:color="000000" w:sz="2" w:space="0"/>
              <w:left w:val="single" w:color="000000" w:sz="2" w:space="0"/>
              <w:bottom w:val="single" w:color="000000" w:sz="2" w:space="0"/>
            </w:tcBorders>
            <w:vAlign w:val="center"/>
          </w:tcPr>
          <w:p w14:paraId="24C5DCC5">
            <w:pPr>
              <w:spacing w:line="240" w:lineRule="auto"/>
              <w:jc w:val="center"/>
              <w:rPr>
                <w:color w:val="auto"/>
                <w:spacing w:val="20"/>
                <w:sz w:val="24"/>
                <w:highlight w:val="none"/>
              </w:rPr>
            </w:pPr>
          </w:p>
        </w:tc>
      </w:tr>
      <w:tr w14:paraId="68AD12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513FF54">
            <w:pPr>
              <w:spacing w:line="240" w:lineRule="auto"/>
              <w:jc w:val="center"/>
              <w:rPr>
                <w:color w:val="auto"/>
                <w:sz w:val="24"/>
                <w:highlight w:val="none"/>
              </w:rPr>
            </w:pPr>
            <w:r>
              <w:rPr>
                <w:rFonts w:hint="eastAsia"/>
                <w:color w:val="auto"/>
                <w:sz w:val="24"/>
                <w:highlight w:val="none"/>
              </w:rPr>
              <w:t>住所</w:t>
            </w:r>
          </w:p>
        </w:tc>
        <w:tc>
          <w:tcPr>
            <w:tcW w:w="2814" w:type="dxa"/>
            <w:tcBorders>
              <w:top w:val="single" w:color="000000" w:sz="2" w:space="0"/>
              <w:left w:val="single" w:color="000000" w:sz="2" w:space="0"/>
              <w:bottom w:val="single" w:color="000000" w:sz="2" w:space="0"/>
              <w:right w:val="single" w:color="000000" w:sz="2" w:space="0"/>
            </w:tcBorders>
            <w:vAlign w:val="center"/>
          </w:tcPr>
          <w:p w14:paraId="77CAC359">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51D1DB43">
            <w:pPr>
              <w:spacing w:line="240" w:lineRule="auto"/>
              <w:jc w:val="center"/>
              <w:rPr>
                <w:color w:val="auto"/>
                <w:sz w:val="24"/>
                <w:highlight w:val="none"/>
              </w:rPr>
            </w:pPr>
            <w:r>
              <w:rPr>
                <w:rFonts w:hint="eastAsia"/>
                <w:color w:val="auto"/>
                <w:sz w:val="24"/>
                <w:highlight w:val="none"/>
              </w:rPr>
              <w:t>住所</w:t>
            </w:r>
          </w:p>
        </w:tc>
        <w:tc>
          <w:tcPr>
            <w:tcW w:w="2471" w:type="dxa"/>
            <w:tcBorders>
              <w:top w:val="single" w:color="000000" w:sz="2" w:space="0"/>
              <w:left w:val="single" w:color="000000" w:sz="2" w:space="0"/>
              <w:bottom w:val="single" w:color="000000" w:sz="2" w:space="0"/>
            </w:tcBorders>
            <w:vAlign w:val="center"/>
          </w:tcPr>
          <w:p w14:paraId="728EE628">
            <w:pPr>
              <w:spacing w:line="240" w:lineRule="auto"/>
              <w:jc w:val="center"/>
              <w:rPr>
                <w:color w:val="auto"/>
                <w:spacing w:val="20"/>
                <w:sz w:val="24"/>
                <w:highlight w:val="none"/>
              </w:rPr>
            </w:pPr>
          </w:p>
        </w:tc>
      </w:tr>
      <w:tr w14:paraId="46107D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7BA8174">
            <w:pPr>
              <w:spacing w:line="240" w:lineRule="auto"/>
              <w:jc w:val="center"/>
              <w:rPr>
                <w:color w:val="auto"/>
                <w:sz w:val="24"/>
                <w:highlight w:val="none"/>
              </w:rPr>
            </w:pPr>
            <w:r>
              <w:rPr>
                <w:color w:val="auto"/>
                <w:sz w:val="24"/>
                <w:highlight w:val="none"/>
              </w:rPr>
              <w:t>联 系 人</w:t>
            </w:r>
          </w:p>
        </w:tc>
        <w:tc>
          <w:tcPr>
            <w:tcW w:w="2814" w:type="dxa"/>
            <w:tcBorders>
              <w:top w:val="single" w:color="000000" w:sz="2" w:space="0"/>
              <w:left w:val="single" w:color="000000" w:sz="2" w:space="0"/>
              <w:bottom w:val="single" w:color="000000" w:sz="2" w:space="0"/>
              <w:right w:val="single" w:color="000000" w:sz="2" w:space="0"/>
            </w:tcBorders>
            <w:vAlign w:val="center"/>
          </w:tcPr>
          <w:p w14:paraId="010A85B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5AF259ED">
            <w:pPr>
              <w:spacing w:line="240" w:lineRule="auto"/>
              <w:jc w:val="center"/>
              <w:rPr>
                <w:color w:val="auto"/>
                <w:sz w:val="24"/>
                <w:highlight w:val="none"/>
              </w:rPr>
            </w:pPr>
            <w:r>
              <w:rPr>
                <w:color w:val="auto"/>
                <w:sz w:val="24"/>
                <w:highlight w:val="none"/>
              </w:rPr>
              <w:t>联 系 人</w:t>
            </w:r>
          </w:p>
        </w:tc>
        <w:tc>
          <w:tcPr>
            <w:tcW w:w="2471" w:type="dxa"/>
            <w:tcBorders>
              <w:top w:val="single" w:color="000000" w:sz="2" w:space="0"/>
              <w:left w:val="single" w:color="000000" w:sz="2" w:space="0"/>
              <w:bottom w:val="single" w:color="000000" w:sz="2" w:space="0"/>
            </w:tcBorders>
            <w:vAlign w:val="center"/>
          </w:tcPr>
          <w:p w14:paraId="53749392">
            <w:pPr>
              <w:spacing w:line="240" w:lineRule="auto"/>
              <w:jc w:val="center"/>
              <w:rPr>
                <w:color w:val="auto"/>
                <w:spacing w:val="20"/>
                <w:sz w:val="24"/>
                <w:highlight w:val="none"/>
              </w:rPr>
            </w:pPr>
          </w:p>
        </w:tc>
      </w:tr>
      <w:tr w14:paraId="44D1A42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C1A6027">
            <w:pPr>
              <w:spacing w:line="240" w:lineRule="auto"/>
              <w:jc w:val="center"/>
              <w:rPr>
                <w:color w:val="auto"/>
                <w:sz w:val="24"/>
                <w:highlight w:val="none"/>
              </w:rPr>
            </w:pPr>
            <w:r>
              <w:rPr>
                <w:color w:val="auto"/>
                <w:sz w:val="24"/>
                <w:highlight w:val="none"/>
              </w:rPr>
              <w:t>联系电话</w:t>
            </w:r>
          </w:p>
        </w:tc>
        <w:tc>
          <w:tcPr>
            <w:tcW w:w="2814" w:type="dxa"/>
            <w:tcBorders>
              <w:top w:val="single" w:color="000000" w:sz="2" w:space="0"/>
              <w:left w:val="single" w:color="000000" w:sz="2" w:space="0"/>
              <w:bottom w:val="single" w:color="000000" w:sz="2" w:space="0"/>
              <w:right w:val="single" w:color="000000" w:sz="2" w:space="0"/>
            </w:tcBorders>
            <w:vAlign w:val="center"/>
          </w:tcPr>
          <w:p w14:paraId="17CE5EDF">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0922CF95">
            <w:pPr>
              <w:spacing w:line="240" w:lineRule="auto"/>
              <w:jc w:val="center"/>
              <w:rPr>
                <w:color w:val="auto"/>
                <w:sz w:val="24"/>
                <w:highlight w:val="none"/>
              </w:rPr>
            </w:pPr>
            <w:r>
              <w:rPr>
                <w:color w:val="auto"/>
                <w:sz w:val="24"/>
                <w:highlight w:val="none"/>
              </w:rPr>
              <w:t>联系电话</w:t>
            </w:r>
          </w:p>
        </w:tc>
        <w:tc>
          <w:tcPr>
            <w:tcW w:w="2471" w:type="dxa"/>
            <w:tcBorders>
              <w:top w:val="single" w:color="000000" w:sz="2" w:space="0"/>
              <w:left w:val="single" w:color="000000" w:sz="2" w:space="0"/>
              <w:bottom w:val="single" w:color="000000" w:sz="2" w:space="0"/>
            </w:tcBorders>
            <w:vAlign w:val="center"/>
          </w:tcPr>
          <w:p w14:paraId="131A21AB">
            <w:pPr>
              <w:spacing w:line="240" w:lineRule="auto"/>
              <w:jc w:val="center"/>
              <w:rPr>
                <w:color w:val="auto"/>
                <w:spacing w:val="20"/>
                <w:sz w:val="24"/>
                <w:highlight w:val="none"/>
              </w:rPr>
            </w:pPr>
          </w:p>
        </w:tc>
      </w:tr>
      <w:tr w14:paraId="15F89D6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2012103">
            <w:pPr>
              <w:spacing w:line="240" w:lineRule="auto"/>
              <w:jc w:val="center"/>
              <w:rPr>
                <w:color w:val="auto"/>
                <w:sz w:val="24"/>
                <w:highlight w:val="none"/>
              </w:rPr>
            </w:pPr>
            <w:r>
              <w:rPr>
                <w:rFonts w:hint="eastAsia"/>
                <w:color w:val="auto"/>
                <w:sz w:val="24"/>
                <w:highlight w:val="none"/>
              </w:rPr>
              <w:t>通信地址</w:t>
            </w:r>
          </w:p>
        </w:tc>
        <w:tc>
          <w:tcPr>
            <w:tcW w:w="2814" w:type="dxa"/>
            <w:tcBorders>
              <w:top w:val="single" w:color="000000" w:sz="2" w:space="0"/>
              <w:left w:val="single" w:color="000000" w:sz="2" w:space="0"/>
              <w:bottom w:val="single" w:color="000000" w:sz="2" w:space="0"/>
              <w:right w:val="single" w:color="000000" w:sz="2" w:space="0"/>
            </w:tcBorders>
            <w:vAlign w:val="center"/>
          </w:tcPr>
          <w:p w14:paraId="1114438B">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1F668306">
            <w:pPr>
              <w:spacing w:line="240" w:lineRule="auto"/>
              <w:jc w:val="center"/>
              <w:rPr>
                <w:color w:val="auto"/>
                <w:sz w:val="24"/>
                <w:highlight w:val="none"/>
              </w:rPr>
            </w:pPr>
            <w:r>
              <w:rPr>
                <w:rFonts w:hint="eastAsia"/>
                <w:color w:val="auto"/>
                <w:sz w:val="24"/>
                <w:highlight w:val="none"/>
              </w:rPr>
              <w:t>通信地址</w:t>
            </w:r>
          </w:p>
        </w:tc>
        <w:tc>
          <w:tcPr>
            <w:tcW w:w="2471" w:type="dxa"/>
            <w:tcBorders>
              <w:top w:val="single" w:color="000000" w:sz="2" w:space="0"/>
              <w:left w:val="single" w:color="000000" w:sz="2" w:space="0"/>
              <w:bottom w:val="single" w:color="000000" w:sz="2" w:space="0"/>
            </w:tcBorders>
            <w:vAlign w:val="center"/>
          </w:tcPr>
          <w:p w14:paraId="406A42A1">
            <w:pPr>
              <w:spacing w:line="240" w:lineRule="auto"/>
              <w:jc w:val="center"/>
              <w:rPr>
                <w:color w:val="auto"/>
                <w:spacing w:val="20"/>
                <w:sz w:val="24"/>
                <w:highlight w:val="none"/>
              </w:rPr>
            </w:pPr>
          </w:p>
        </w:tc>
      </w:tr>
      <w:tr w14:paraId="54A19C8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E68C7A3">
            <w:pPr>
              <w:spacing w:line="240" w:lineRule="auto"/>
              <w:jc w:val="center"/>
              <w:rPr>
                <w:color w:val="auto"/>
                <w:sz w:val="24"/>
                <w:highlight w:val="none"/>
              </w:rPr>
            </w:pPr>
            <w:r>
              <w:rPr>
                <w:color w:val="auto"/>
                <w:sz w:val="24"/>
                <w:highlight w:val="none"/>
              </w:rPr>
              <w:t>邮政编码</w:t>
            </w:r>
          </w:p>
        </w:tc>
        <w:tc>
          <w:tcPr>
            <w:tcW w:w="2814" w:type="dxa"/>
            <w:tcBorders>
              <w:top w:val="single" w:color="000000" w:sz="2" w:space="0"/>
              <w:left w:val="single" w:color="000000" w:sz="2" w:space="0"/>
              <w:bottom w:val="single" w:color="000000" w:sz="2" w:space="0"/>
              <w:right w:val="single" w:color="000000" w:sz="2" w:space="0"/>
            </w:tcBorders>
            <w:vAlign w:val="center"/>
          </w:tcPr>
          <w:p w14:paraId="64A7B95E">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65482AE3">
            <w:pPr>
              <w:spacing w:line="240" w:lineRule="auto"/>
              <w:jc w:val="center"/>
              <w:rPr>
                <w:color w:val="auto"/>
                <w:sz w:val="24"/>
                <w:highlight w:val="none"/>
              </w:rPr>
            </w:pPr>
            <w:r>
              <w:rPr>
                <w:color w:val="auto"/>
                <w:sz w:val="24"/>
                <w:highlight w:val="none"/>
              </w:rPr>
              <w:t>邮政编码</w:t>
            </w:r>
          </w:p>
        </w:tc>
        <w:tc>
          <w:tcPr>
            <w:tcW w:w="2471" w:type="dxa"/>
            <w:tcBorders>
              <w:top w:val="single" w:color="000000" w:sz="2" w:space="0"/>
              <w:left w:val="single" w:color="000000" w:sz="2" w:space="0"/>
              <w:bottom w:val="single" w:color="000000" w:sz="2" w:space="0"/>
            </w:tcBorders>
            <w:vAlign w:val="center"/>
          </w:tcPr>
          <w:p w14:paraId="6023A009">
            <w:pPr>
              <w:spacing w:line="240" w:lineRule="auto"/>
              <w:jc w:val="center"/>
              <w:rPr>
                <w:color w:val="auto"/>
                <w:spacing w:val="20"/>
                <w:sz w:val="24"/>
                <w:highlight w:val="none"/>
              </w:rPr>
            </w:pPr>
          </w:p>
        </w:tc>
      </w:tr>
      <w:tr w14:paraId="2983B3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64AF83CE">
            <w:pPr>
              <w:spacing w:line="240" w:lineRule="auto"/>
              <w:jc w:val="center"/>
              <w:rPr>
                <w:color w:val="auto"/>
                <w:sz w:val="24"/>
                <w:highlight w:val="none"/>
              </w:rPr>
            </w:pPr>
            <w:r>
              <w:rPr>
                <w:rFonts w:hint="eastAsia"/>
                <w:color w:val="auto"/>
                <w:sz w:val="24"/>
                <w:highlight w:val="none"/>
              </w:rPr>
              <w:t>电子邮箱</w:t>
            </w:r>
          </w:p>
        </w:tc>
        <w:tc>
          <w:tcPr>
            <w:tcW w:w="2814" w:type="dxa"/>
            <w:tcBorders>
              <w:top w:val="single" w:color="000000" w:sz="2" w:space="0"/>
              <w:left w:val="single" w:color="000000" w:sz="2" w:space="0"/>
              <w:bottom w:val="single" w:color="000000" w:sz="2" w:space="0"/>
              <w:right w:val="single" w:color="000000" w:sz="2" w:space="0"/>
            </w:tcBorders>
            <w:vAlign w:val="center"/>
          </w:tcPr>
          <w:p w14:paraId="232D0B74">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715AFA01">
            <w:pPr>
              <w:spacing w:line="240" w:lineRule="auto"/>
              <w:jc w:val="center"/>
              <w:rPr>
                <w:color w:val="auto"/>
                <w:sz w:val="24"/>
                <w:highlight w:val="none"/>
              </w:rPr>
            </w:pPr>
            <w:r>
              <w:rPr>
                <w:rFonts w:hint="eastAsia"/>
                <w:color w:val="auto"/>
                <w:sz w:val="24"/>
                <w:highlight w:val="none"/>
              </w:rPr>
              <w:t>电子邮箱</w:t>
            </w:r>
          </w:p>
        </w:tc>
        <w:tc>
          <w:tcPr>
            <w:tcW w:w="2471" w:type="dxa"/>
            <w:tcBorders>
              <w:top w:val="single" w:color="000000" w:sz="2" w:space="0"/>
              <w:left w:val="single" w:color="000000" w:sz="2" w:space="0"/>
              <w:bottom w:val="single" w:color="000000" w:sz="2" w:space="0"/>
            </w:tcBorders>
            <w:vAlign w:val="center"/>
          </w:tcPr>
          <w:p w14:paraId="56C2896F">
            <w:pPr>
              <w:spacing w:line="240" w:lineRule="auto"/>
              <w:jc w:val="center"/>
              <w:rPr>
                <w:color w:val="auto"/>
                <w:spacing w:val="20"/>
                <w:sz w:val="24"/>
                <w:highlight w:val="none"/>
              </w:rPr>
            </w:pPr>
          </w:p>
        </w:tc>
      </w:tr>
      <w:tr w14:paraId="433A75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63ABEE5C">
            <w:pPr>
              <w:spacing w:line="240" w:lineRule="auto"/>
              <w:jc w:val="center"/>
              <w:rPr>
                <w:color w:val="auto"/>
                <w:sz w:val="24"/>
                <w:highlight w:val="none"/>
              </w:rPr>
            </w:pPr>
            <w:r>
              <w:rPr>
                <w:rFonts w:hint="eastAsia"/>
                <w:color w:val="auto"/>
                <w:sz w:val="24"/>
                <w:highlight w:val="none"/>
              </w:rPr>
              <w:t>统一社会信用代码</w:t>
            </w:r>
          </w:p>
        </w:tc>
        <w:tc>
          <w:tcPr>
            <w:tcW w:w="2814" w:type="dxa"/>
            <w:tcBorders>
              <w:top w:val="single" w:color="000000" w:sz="2" w:space="0"/>
              <w:left w:val="single" w:color="000000" w:sz="2" w:space="0"/>
              <w:bottom w:val="single" w:color="000000" w:sz="2" w:space="0"/>
              <w:right w:val="single" w:color="000000" w:sz="2" w:space="0"/>
            </w:tcBorders>
            <w:vAlign w:val="center"/>
          </w:tcPr>
          <w:p w14:paraId="74ACA0E8">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030BFC63">
            <w:pPr>
              <w:spacing w:line="240" w:lineRule="auto"/>
              <w:jc w:val="center"/>
              <w:rPr>
                <w:color w:val="auto"/>
                <w:sz w:val="24"/>
                <w:highlight w:val="none"/>
              </w:rPr>
            </w:pPr>
            <w:r>
              <w:rPr>
                <w:rFonts w:hint="eastAsia"/>
                <w:color w:val="auto"/>
                <w:sz w:val="24"/>
                <w:highlight w:val="none"/>
              </w:rPr>
              <w:t>统一社会信用代码</w:t>
            </w:r>
          </w:p>
        </w:tc>
        <w:tc>
          <w:tcPr>
            <w:tcW w:w="2471" w:type="dxa"/>
            <w:tcBorders>
              <w:top w:val="single" w:color="000000" w:sz="2" w:space="0"/>
              <w:left w:val="single" w:color="000000" w:sz="2" w:space="0"/>
              <w:bottom w:val="single" w:color="000000" w:sz="2" w:space="0"/>
            </w:tcBorders>
            <w:vAlign w:val="center"/>
          </w:tcPr>
          <w:p w14:paraId="6AF70BFC">
            <w:pPr>
              <w:spacing w:line="240" w:lineRule="auto"/>
              <w:jc w:val="center"/>
              <w:rPr>
                <w:color w:val="auto"/>
                <w:spacing w:val="20"/>
                <w:sz w:val="24"/>
                <w:highlight w:val="none"/>
              </w:rPr>
            </w:pPr>
          </w:p>
        </w:tc>
      </w:tr>
      <w:tr w14:paraId="186D50C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1ADA0791">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5C75211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298A8790">
            <w:pPr>
              <w:spacing w:line="240" w:lineRule="auto"/>
              <w:jc w:val="center"/>
              <w:rPr>
                <w:color w:val="auto"/>
                <w:sz w:val="24"/>
                <w:highlight w:val="none"/>
              </w:rPr>
            </w:pPr>
            <w:r>
              <w:rPr>
                <w:color w:val="auto"/>
                <w:sz w:val="24"/>
                <w:highlight w:val="none"/>
              </w:rPr>
              <w:t>开户名称</w:t>
            </w:r>
          </w:p>
        </w:tc>
        <w:tc>
          <w:tcPr>
            <w:tcW w:w="2471" w:type="dxa"/>
            <w:tcBorders>
              <w:top w:val="single" w:color="000000" w:sz="2" w:space="0"/>
              <w:left w:val="single" w:color="000000" w:sz="2" w:space="0"/>
              <w:bottom w:val="single" w:color="000000" w:sz="2" w:space="0"/>
            </w:tcBorders>
            <w:vAlign w:val="center"/>
          </w:tcPr>
          <w:p w14:paraId="495D7C39">
            <w:pPr>
              <w:spacing w:line="240" w:lineRule="auto"/>
              <w:jc w:val="center"/>
              <w:rPr>
                <w:color w:val="auto"/>
                <w:spacing w:val="20"/>
                <w:sz w:val="24"/>
                <w:highlight w:val="none"/>
              </w:rPr>
            </w:pPr>
          </w:p>
        </w:tc>
      </w:tr>
      <w:tr w14:paraId="14DE34D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C41D14B">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04D85D2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3927B36F">
            <w:pPr>
              <w:spacing w:line="240" w:lineRule="auto"/>
              <w:jc w:val="center"/>
              <w:rPr>
                <w:color w:val="auto"/>
                <w:sz w:val="24"/>
                <w:highlight w:val="none"/>
              </w:rPr>
            </w:pPr>
            <w:r>
              <w:rPr>
                <w:color w:val="auto"/>
                <w:sz w:val="24"/>
                <w:highlight w:val="none"/>
              </w:rPr>
              <w:t>开户银行</w:t>
            </w:r>
          </w:p>
        </w:tc>
        <w:tc>
          <w:tcPr>
            <w:tcW w:w="2471" w:type="dxa"/>
            <w:tcBorders>
              <w:top w:val="single" w:color="000000" w:sz="2" w:space="0"/>
              <w:left w:val="single" w:color="000000" w:sz="2" w:space="0"/>
              <w:bottom w:val="single" w:color="000000" w:sz="2" w:space="0"/>
            </w:tcBorders>
            <w:vAlign w:val="center"/>
          </w:tcPr>
          <w:p w14:paraId="6AFEF478">
            <w:pPr>
              <w:spacing w:line="240" w:lineRule="auto"/>
              <w:jc w:val="center"/>
              <w:rPr>
                <w:color w:val="auto"/>
                <w:spacing w:val="20"/>
                <w:sz w:val="24"/>
                <w:highlight w:val="none"/>
              </w:rPr>
            </w:pPr>
          </w:p>
        </w:tc>
      </w:tr>
      <w:tr w14:paraId="5BAA75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1A342079">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7EA95BE6">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45F5ADC0">
            <w:pPr>
              <w:spacing w:line="240" w:lineRule="auto"/>
              <w:jc w:val="center"/>
              <w:rPr>
                <w:color w:val="auto"/>
                <w:sz w:val="24"/>
                <w:highlight w:val="none"/>
              </w:rPr>
            </w:pPr>
            <w:r>
              <w:rPr>
                <w:color w:val="auto"/>
                <w:sz w:val="24"/>
                <w:highlight w:val="none"/>
              </w:rPr>
              <w:t>银行账号</w:t>
            </w:r>
          </w:p>
        </w:tc>
        <w:tc>
          <w:tcPr>
            <w:tcW w:w="2471" w:type="dxa"/>
            <w:tcBorders>
              <w:top w:val="single" w:color="000000" w:sz="2" w:space="0"/>
              <w:left w:val="single" w:color="000000" w:sz="2" w:space="0"/>
              <w:bottom w:val="single" w:color="000000" w:sz="2" w:space="0"/>
            </w:tcBorders>
            <w:vAlign w:val="center"/>
          </w:tcPr>
          <w:p w14:paraId="24F15EF2">
            <w:pPr>
              <w:spacing w:line="240" w:lineRule="auto"/>
              <w:jc w:val="center"/>
              <w:rPr>
                <w:color w:val="auto"/>
                <w:spacing w:val="20"/>
                <w:sz w:val="24"/>
                <w:highlight w:val="none"/>
              </w:rPr>
            </w:pPr>
          </w:p>
        </w:tc>
      </w:tr>
      <w:tr w14:paraId="2DA97B4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57" w:hRule="atLeast"/>
        </w:trPr>
        <w:tc>
          <w:tcPr>
            <w:tcW w:w="9799" w:type="dxa"/>
            <w:gridSpan w:val="4"/>
            <w:tcBorders>
              <w:top w:val="single" w:color="000000" w:sz="2" w:space="0"/>
            </w:tcBorders>
            <w:vAlign w:val="center"/>
          </w:tcPr>
          <w:p w14:paraId="4CE22042">
            <w:pPr>
              <w:spacing w:line="240" w:lineRule="auto"/>
              <w:jc w:val="left"/>
              <w:rPr>
                <w:color w:val="auto"/>
                <w:spacing w:val="20"/>
                <w:sz w:val="24"/>
                <w:highlight w:val="none"/>
              </w:rPr>
            </w:pPr>
            <w:r>
              <w:rPr>
                <w:rFonts w:hint="eastAsia" w:ascii="宋体" w:hAnsi="宋体"/>
                <w:color w:val="auto"/>
                <w:sz w:val="24"/>
                <w:highlight w:val="none"/>
              </w:rPr>
              <w:t>注：涉及联合体或其他合同主体的信息应按上表格式加列。</w:t>
            </w:r>
          </w:p>
        </w:tc>
      </w:tr>
    </w:tbl>
    <w:p w14:paraId="3FC9C360">
      <w:pPr>
        <w:pStyle w:val="3"/>
        <w:adjustRightInd w:val="0"/>
        <w:snapToGrid w:val="0"/>
        <w:spacing w:before="156" w:beforeLines="50"/>
        <w:jc w:val="center"/>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bookmarkStart w:id="168" w:name="_Toc20313"/>
      <w:r>
        <w:rPr>
          <w:rFonts w:hint="eastAsia" w:ascii="黑体" w:hAnsi="黑体" w:eastAsia="黑体"/>
          <w:b w:val="0"/>
          <w:bCs w:val="0"/>
          <w:color w:val="auto"/>
          <w:sz w:val="28"/>
          <w:szCs w:val="28"/>
          <w:highlight w:val="none"/>
        </w:rPr>
        <w:t>第二节 政府采购合同通用条款</w:t>
      </w:r>
      <w:bookmarkEnd w:id="167"/>
    </w:p>
    <w:p w14:paraId="4E8FFE56">
      <w:pPr>
        <w:tabs>
          <w:tab w:val="left" w:pos="8820"/>
          <w:tab w:val="left" w:pos="9345"/>
          <w:tab w:val="left" w:pos="9765"/>
        </w:tabs>
        <w:adjustRightInd w:val="0"/>
        <w:snapToGrid w:val="0"/>
        <w:spacing w:line="400" w:lineRule="exact"/>
        <w:jc w:val="left"/>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109AACEC">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1.1合同当事人</w:t>
      </w:r>
    </w:p>
    <w:p w14:paraId="50C4042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26D92D6C">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256D43B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32FA603A">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1.2本合同下列术语应解释为：</w:t>
      </w:r>
    </w:p>
    <w:p w14:paraId="6567331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28EEE266">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672D11A0">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w:t>
      </w:r>
      <w:r>
        <w:rPr>
          <w:rFonts w:hint="eastAsia" w:ascii="宋体" w:hAnsi="宋体"/>
          <w:color w:val="auto"/>
          <w:szCs w:val="21"/>
          <w:highlight w:val="none"/>
          <w:lang w:eastAsia="zh-CN"/>
        </w:rPr>
        <w:t>的</w:t>
      </w:r>
      <w:r>
        <w:rPr>
          <w:rFonts w:hint="eastAsia" w:ascii="宋体" w:hAnsi="宋体"/>
          <w:color w:val="auto"/>
          <w:szCs w:val="21"/>
          <w:highlight w:val="none"/>
        </w:rPr>
        <w:t>备品备件、工具、手册及</w:t>
      </w:r>
      <w:r>
        <w:rPr>
          <w:rFonts w:hint="eastAsia" w:ascii="宋体" w:hAnsi="宋体"/>
          <w:color w:val="auto"/>
          <w:szCs w:val="21"/>
          <w:highlight w:val="none"/>
          <w:lang w:val="en"/>
        </w:rPr>
        <w:t>其他</w:t>
      </w:r>
      <w:r>
        <w:rPr>
          <w:rFonts w:hint="eastAsia" w:ascii="宋体" w:hAnsi="宋体"/>
          <w:color w:val="auto"/>
          <w:szCs w:val="21"/>
          <w:highlight w:val="none"/>
        </w:rPr>
        <w:t>技术资料和材料等。</w:t>
      </w:r>
    </w:p>
    <w:p w14:paraId="1AAB1430">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hint="eastAsia"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其他</w:t>
      </w:r>
      <w:r>
        <w:rPr>
          <w:rFonts w:hint="eastAsia" w:ascii="宋体" w:hAnsi="宋体"/>
          <w:color w:val="auto"/>
          <w:szCs w:val="21"/>
          <w:highlight w:val="none"/>
        </w:rPr>
        <w:t>义务。</w:t>
      </w:r>
    </w:p>
    <w:p w14:paraId="67F9B127">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5376D795">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C7D50B2">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C89C8E4">
      <w:pPr>
        <w:numPr>
          <w:ilvl w:val="0"/>
          <w:numId w:val="3"/>
        </w:num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color w:val="auto"/>
          <w:sz w:val="24"/>
          <w:highlight w:val="none"/>
        </w:rPr>
        <w:t>合同标的及金额</w:t>
      </w:r>
    </w:p>
    <w:p w14:paraId="4D8D088B">
      <w:pPr>
        <w:autoSpaceDE w:val="0"/>
        <w:autoSpaceDN w:val="0"/>
        <w:adjustRightInd w:val="0"/>
        <w:snapToGrid w:val="0"/>
        <w:spacing w:line="400" w:lineRule="exact"/>
        <w:ind w:firstLine="420" w:firstLineChars="200"/>
        <w:jc w:val="left"/>
        <w:rPr>
          <w:rFonts w:hint="eastAsia"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其他</w:t>
      </w:r>
      <w:r>
        <w:rPr>
          <w:rFonts w:hint="eastAsia" w:ascii="宋体" w:hAnsi="宋体"/>
          <w:color w:val="auto"/>
          <w:szCs w:val="21"/>
          <w:highlight w:val="none"/>
        </w:rPr>
        <w:t>任何费用。</w:t>
      </w:r>
    </w:p>
    <w:p w14:paraId="56F92879">
      <w:pPr>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24AC51C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5B35B751">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67F38C6F">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7EB95F1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702685D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4.3 甲方有权要求乙方对缺陷部分予以修复，并按合同约定享有货物保修及其他合同约定的权利。</w:t>
      </w:r>
    </w:p>
    <w:p w14:paraId="6D57CCF2">
      <w:pPr>
        <w:snapToGrid w:val="0"/>
        <w:spacing w:line="400" w:lineRule="exact"/>
        <w:ind w:firstLine="420" w:firstLineChars="200"/>
        <w:rPr>
          <w:rFonts w:hint="eastAsia" w:eastAsia="华文楷体"/>
          <w:color w:val="auto"/>
          <w:highlight w:val="none"/>
        </w:rPr>
      </w:pPr>
      <w:r>
        <w:rPr>
          <w:rFonts w:hint="eastAsia" w:ascii="宋体" w:hAnsi="宋体"/>
          <w:color w:val="auto"/>
          <w:szCs w:val="21"/>
          <w:highlight w:val="none"/>
        </w:rPr>
        <w:t>4.4 甲方应当按照合同约定及时对交付的货物进行验收，</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45809A7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4.5 甲方应当根据合同约定及时向乙方支付合同价款，不得以内部人员变更、履行内部付款流程等为由，拒绝或迟延支付。</w:t>
      </w:r>
    </w:p>
    <w:p w14:paraId="08AA3D1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1CCD46BC">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7AAACCF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5.1 签署合同后，乙方应确定项目负责人（或项目联系人），负责与本合同有关的事务。</w:t>
      </w:r>
    </w:p>
    <w:p w14:paraId="1D2E8739">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522AFA8">
      <w:pPr>
        <w:pStyle w:val="7"/>
        <w:spacing w:after="0" w:line="400" w:lineRule="exact"/>
        <w:ind w:firstLine="369" w:firstLineChars="176"/>
        <w:rPr>
          <w:rFonts w:hint="eastAsia" w:ascii="宋体" w:hAnsi="宋体" w:cs="宋体"/>
          <w:color w:val="auto"/>
          <w:szCs w:val="21"/>
          <w:highlight w:val="none"/>
        </w:rPr>
      </w:pPr>
      <w:r>
        <w:rPr>
          <w:rFonts w:hint="eastAsia" w:ascii="宋体" w:hAnsi="宋体"/>
          <w:color w:val="auto"/>
          <w:szCs w:val="21"/>
          <w:highlight w:val="none"/>
        </w:rPr>
        <w:t>5.3乙方有权</w:t>
      </w:r>
      <w:r>
        <w:rPr>
          <w:rFonts w:hint="eastAsia" w:ascii="宋体" w:hAnsi="宋体" w:cs="宋体"/>
          <w:color w:val="auto"/>
          <w:szCs w:val="21"/>
          <w:highlight w:val="none"/>
        </w:rPr>
        <w:t>根据合同约定向甲方收取合同价款。</w:t>
      </w:r>
    </w:p>
    <w:p w14:paraId="7A754CC2">
      <w:pPr>
        <w:pStyle w:val="7"/>
        <w:spacing w:after="0" w:line="400" w:lineRule="exact"/>
        <w:ind w:firstLine="369" w:firstLineChars="176"/>
        <w:rPr>
          <w:rFonts w:hint="eastAsia" w:ascii="宋体" w:hAnsi="宋体" w:cs="宋体"/>
          <w:color w:val="auto"/>
          <w:szCs w:val="21"/>
          <w:highlight w:val="none"/>
        </w:rPr>
      </w:pPr>
      <w:r>
        <w:rPr>
          <w:rFonts w:hint="eastAsia" w:ascii="宋体" w:hAnsi="宋体"/>
          <w:color w:val="auto"/>
          <w:szCs w:val="21"/>
          <w:highlight w:val="none"/>
        </w:rPr>
        <w:t>5.4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0A6CD73B">
      <w:pPr>
        <w:numPr>
          <w:ilvl w:val="0"/>
          <w:numId w:val="4"/>
        </w:num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2FF01F6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1F5D6BBE">
      <w:pPr>
        <w:autoSpaceDE w:val="0"/>
        <w:autoSpaceDN w:val="0"/>
        <w:adjustRightInd w:val="0"/>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1D4B8791">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6E1A982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52AAAD94">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24E11C51">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77F8DD9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29BBAF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72CB7BF6">
      <w:pPr>
        <w:pStyle w:val="22"/>
        <w:ind w:firstLine="420"/>
        <w:rPr>
          <w:rFonts w:hint="eastAsia"/>
          <w:color w:val="auto"/>
          <w:sz w:val="21"/>
          <w:highlight w:val="none"/>
        </w:rPr>
      </w:pPr>
      <w:r>
        <w:rPr>
          <w:rFonts w:hint="eastAsia" w:ascii="宋体" w:hAnsi="宋体" w:eastAsia="宋体" w:cs="Times New Roman"/>
          <w:color w:val="auto"/>
          <w:kern w:val="2"/>
          <w:sz w:val="21"/>
          <w:highlight w:val="none"/>
        </w:rPr>
        <w:t>7.6 如因包装、运输问题导致货物损毁、丢失或者品质下降，甲方有权要求降价、换货、拒收部分或整批货物，由此产生的费用和损失，均由乙方承担。</w:t>
      </w:r>
    </w:p>
    <w:p w14:paraId="77DECE8A">
      <w:pPr>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8. 质量标准和保证</w:t>
      </w:r>
    </w:p>
    <w:p w14:paraId="7E350E9A">
      <w:pPr>
        <w:pStyle w:val="10"/>
        <w:adjustRightInd w:val="0"/>
        <w:snapToGrid w:val="0"/>
        <w:spacing w:line="400" w:lineRule="exact"/>
        <w:ind w:firstLine="420" w:firstLineChars="200"/>
        <w:jc w:val="left"/>
        <w:rPr>
          <w:rFonts w:hint="eastAsia" w:hAnsi="宋体"/>
          <w:b/>
          <w:color w:val="auto"/>
          <w:highlight w:val="none"/>
        </w:rPr>
      </w:pPr>
      <w:r>
        <w:rPr>
          <w:rFonts w:hint="eastAsia" w:hAnsi="宋体"/>
          <w:color w:val="auto"/>
          <w:highlight w:val="none"/>
        </w:rPr>
        <w:t>8.1 质量标准</w:t>
      </w:r>
    </w:p>
    <w:p w14:paraId="0079373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C7C7CD1">
      <w:pPr>
        <w:pStyle w:val="10"/>
        <w:adjustRightInd w:val="0"/>
        <w:snapToGrid w:val="0"/>
        <w:spacing w:line="400" w:lineRule="exact"/>
        <w:ind w:firstLine="420" w:firstLineChars="200"/>
        <w:jc w:val="left"/>
        <w:rPr>
          <w:rFonts w:hint="eastAsia" w:hAnsi="宋体"/>
          <w:color w:val="auto"/>
          <w:highlight w:val="none"/>
        </w:rPr>
      </w:pPr>
      <w:r>
        <w:rPr>
          <w:rFonts w:hint="eastAsia" w:hAnsi="宋体"/>
          <w:color w:val="auto"/>
          <w:highlight w:val="none"/>
        </w:rPr>
        <w:t>（2）采用中华人民共和国法定计量单位。</w:t>
      </w:r>
    </w:p>
    <w:p w14:paraId="17A3C6D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4F918C9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2F03FD1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8.2 保证</w:t>
      </w:r>
    </w:p>
    <w:p w14:paraId="542EAAC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08CEC85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4B15BD3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471DA26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7C4395E">
      <w:pPr>
        <w:adjustRightInd w:val="0"/>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0D7E5AF5">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24018E5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9.1 乙方保证对其出售的货物享有合法的权利。</w:t>
      </w:r>
    </w:p>
    <w:p w14:paraId="710AF80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7A6FF4FD">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5A41FBCD">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10. 知识产权保护</w:t>
      </w:r>
    </w:p>
    <w:p w14:paraId="01B7F55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w:t>
      </w:r>
    </w:p>
    <w:p w14:paraId="43BB4694">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11. 保密义务</w:t>
      </w:r>
    </w:p>
    <w:p w14:paraId="0749D565">
      <w:pPr>
        <w:autoSpaceDE w:val="0"/>
        <w:autoSpaceDN w:val="0"/>
        <w:adjustRightInd w:val="0"/>
        <w:snapToGrid w:val="0"/>
        <w:spacing w:line="400" w:lineRule="exact"/>
        <w:ind w:firstLine="420" w:firstLineChars="200"/>
        <w:jc w:val="left"/>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66916EFB">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12. 合同价款支付</w:t>
      </w:r>
    </w:p>
    <w:p w14:paraId="6EC38DD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293389DA">
      <w:pPr>
        <w:pStyle w:val="3"/>
        <w:spacing w:line="400" w:lineRule="exact"/>
        <w:ind w:firstLine="420" w:firstLineChars="200"/>
        <w:rPr>
          <w:rFonts w:hint="eastAsia"/>
          <w:color w:val="auto"/>
          <w:highlight w:val="none"/>
        </w:rPr>
      </w:pPr>
      <w:r>
        <w:rPr>
          <w:rFonts w:hint="eastAsia" w:ascii="宋体" w:hAnsi="宋体"/>
          <w:b w:val="0"/>
          <w:bCs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政府采购合同专用条款</w:t>
      </w:r>
      <w:r>
        <w:rPr>
          <w:rFonts w:hint="eastAsia" w:ascii="宋体" w:hAnsi="宋体"/>
          <w:b w:val="0"/>
          <w:bCs w:val="0"/>
          <w:color w:val="auto"/>
          <w:sz w:val="21"/>
          <w:szCs w:val="21"/>
          <w:highlight w:val="none"/>
        </w:rPr>
        <w:t>】中约定。</w:t>
      </w:r>
    </w:p>
    <w:p w14:paraId="703FF568">
      <w:pPr>
        <w:pStyle w:val="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13. 履约保证金</w:t>
      </w:r>
    </w:p>
    <w:p w14:paraId="5F60945B">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69C0FF83">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266A000B">
      <w:pPr>
        <w:spacing w:line="400" w:lineRule="exact"/>
        <w:ind w:firstLine="420"/>
        <w:rPr>
          <w:rFonts w:hint="eastAsia"/>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6D5C82F3">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38C9723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145EE089">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2CA2F752">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3291103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367AE2C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3936BD1F">
      <w:pPr>
        <w:pStyle w:val="22"/>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0F6D523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A871433">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5900D6E8">
      <w:p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15. 违约责任</w:t>
      </w:r>
    </w:p>
    <w:p w14:paraId="5BD4805E">
      <w:pPr>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15.1质量瑕疵的违约责任</w:t>
      </w:r>
    </w:p>
    <w:p w14:paraId="2BD0D21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64CA5D2E">
      <w:pPr>
        <w:autoSpaceDE w:val="0"/>
        <w:autoSpaceDN w:val="0"/>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15.2 迟延交货的违约责任</w:t>
      </w:r>
    </w:p>
    <w:p w14:paraId="58B9226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BDC0F7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056A2D6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15.3 迟延支付的违约责任</w:t>
      </w:r>
    </w:p>
    <w:p w14:paraId="5451481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05850CA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3CCCFF8">
      <w:pPr>
        <w:numPr>
          <w:ilvl w:val="0"/>
          <w:numId w:val="5"/>
        </w:num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3EBF996A">
      <w:pPr>
        <w:adjustRightInd w:val="0"/>
        <w:snapToGrid w:val="0"/>
        <w:spacing w:line="400" w:lineRule="exact"/>
        <w:jc w:val="left"/>
        <w:rPr>
          <w:rFonts w:hint="eastAsia" w:ascii="宋体" w:hAnsi="宋体"/>
          <w:color w:val="auto"/>
          <w:szCs w:val="21"/>
          <w:highlight w:val="none"/>
        </w:rPr>
      </w:pPr>
      <w:r>
        <w:rPr>
          <w:rFonts w:hint="eastAsia" w:ascii="宋体" w:hAnsi="宋体"/>
          <w:color w:val="auto"/>
          <w:szCs w:val="21"/>
          <w:highlight w:val="none"/>
        </w:rPr>
        <w:t xml:space="preserve">    16.1合同的变更</w:t>
      </w:r>
    </w:p>
    <w:p w14:paraId="71CDAC2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4F27FD38">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16.2合同的中止</w:t>
      </w:r>
    </w:p>
    <w:p w14:paraId="243523E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5595CB9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F569B48">
      <w:pPr>
        <w:pStyle w:val="22"/>
        <w:ind w:firstLine="420"/>
        <w:jc w:val="both"/>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EEAF3A">
      <w:pPr>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35805EC1">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16.3合同的终止</w:t>
      </w:r>
    </w:p>
    <w:p w14:paraId="4593884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（1）合同因有效期限届满而终止；</w:t>
      </w:r>
    </w:p>
    <w:p w14:paraId="3A8035EC">
      <w:pPr>
        <w:snapToGrid w:val="0"/>
        <w:spacing w:line="400" w:lineRule="exact"/>
        <w:ind w:firstLine="420" w:firstLineChars="200"/>
        <w:rPr>
          <w:rFonts w:hint="eastAsia"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7932A410">
      <w:pPr>
        <w:pStyle w:val="22"/>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kern w:val="2"/>
          <w:sz w:val="21"/>
          <w:highlight w:val="none"/>
        </w:rPr>
        <w:t>涉及国家利益、社会公共利益的情形</w:t>
      </w:r>
    </w:p>
    <w:p w14:paraId="6F735FA0">
      <w:pPr>
        <w:pStyle w:val="22"/>
        <w:ind w:firstLine="420"/>
        <w:jc w:val="both"/>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5149608F">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17. 合同分包</w:t>
      </w:r>
    </w:p>
    <w:p w14:paraId="484E243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4145004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7AAB9A6B">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18. 不可抗力</w:t>
      </w:r>
    </w:p>
    <w:p w14:paraId="1F0122D3">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3367172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5A7EC1A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5A9FA93">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19. 解决争议的方法</w:t>
      </w:r>
    </w:p>
    <w:p w14:paraId="42607B1D">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4D14834">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137A7F27">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289102F1">
      <w:pPr>
        <w:autoSpaceDE w:val="0"/>
        <w:autoSpaceDN w:val="0"/>
        <w:adjustRightInd w:val="0"/>
        <w:snapToGrid w:val="0"/>
        <w:spacing w:line="400" w:lineRule="exact"/>
        <w:jc w:val="left"/>
        <w:rPr>
          <w:rFonts w:hint="eastAsia" w:ascii="宋体" w:hAnsi="宋体"/>
          <w:color w:val="auto"/>
          <w:sz w:val="24"/>
          <w:highlight w:val="none"/>
        </w:rPr>
      </w:pPr>
      <w:r>
        <w:rPr>
          <w:rFonts w:hint="eastAsia" w:ascii="宋体" w:hAnsi="宋体"/>
          <w:b/>
          <w:color w:val="auto"/>
          <w:sz w:val="24"/>
          <w:highlight w:val="none"/>
        </w:rPr>
        <w:t>20. 政府采购政策</w:t>
      </w:r>
    </w:p>
    <w:p w14:paraId="535737F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774C4502">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5B936C99">
      <w:pPr>
        <w:pStyle w:val="7"/>
        <w:spacing w:after="0" w:line="400" w:lineRule="exact"/>
        <w:ind w:firstLine="420" w:firstLineChars="200"/>
        <w:rPr>
          <w:rFonts w:hint="eastAsia"/>
          <w:color w:val="auto"/>
          <w:highlight w:val="none"/>
        </w:rPr>
      </w:pPr>
      <w:r>
        <w:rPr>
          <w:rFonts w:hint="eastAsia" w:ascii="宋体" w:hAnsi="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DC6CD7">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4199F535">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1447972B">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5F3F1F65">
      <w:p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22. 通知</w:t>
      </w:r>
    </w:p>
    <w:p w14:paraId="3D3D64F3">
      <w:pPr>
        <w:pStyle w:val="22"/>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2731ABC8">
      <w:pPr>
        <w:pStyle w:val="22"/>
        <w:ind w:firstLine="0" w:firstLineChars="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21EBCC1C">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0AB1D561">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4B0D24A3">
      <w:pPr>
        <w:numPr>
          <w:ilvl w:val="0"/>
          <w:numId w:val="6"/>
        </w:num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3A1DC12A">
      <w:pPr>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39F68A6C">
      <w:pPr>
        <w:adjustRightInd w:val="0"/>
        <w:snapToGrid w:val="0"/>
        <w:spacing w:line="400" w:lineRule="exact"/>
        <w:jc w:val="lef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54474C4D">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br w:type="page" w:clear="all"/>
      </w:r>
    </w:p>
    <w:p w14:paraId="00A565DD">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68"/>
    </w:p>
    <w:tbl>
      <w:tblPr>
        <w:tblStyle w:val="14"/>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599"/>
      </w:tblGrid>
      <w:tr w14:paraId="53366D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8CE1D2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55C7DE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第1.2（6）项</w:t>
            </w:r>
          </w:p>
        </w:tc>
        <w:tc>
          <w:tcPr>
            <w:tcW w:w="1789" w:type="dxa"/>
            <w:vAlign w:val="center"/>
          </w:tcPr>
          <w:p w14:paraId="3DB6E8B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联合体具体要求</w:t>
            </w:r>
          </w:p>
        </w:tc>
        <w:tc>
          <w:tcPr>
            <w:tcW w:w="5599" w:type="dxa"/>
            <w:vAlign w:val="center"/>
          </w:tcPr>
          <w:p w14:paraId="116718D9">
            <w:pPr>
              <w:pStyle w:val="38"/>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本项目不接受联合体</w:t>
            </w:r>
          </w:p>
        </w:tc>
      </w:tr>
      <w:tr w14:paraId="52E707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560" w:type="dxa"/>
            <w:vAlign w:val="center"/>
          </w:tcPr>
          <w:p w14:paraId="5A82E68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BDFD3C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第1.2（7）项</w:t>
            </w:r>
          </w:p>
        </w:tc>
        <w:tc>
          <w:tcPr>
            <w:tcW w:w="1789" w:type="dxa"/>
            <w:vAlign w:val="center"/>
          </w:tcPr>
          <w:p w14:paraId="690CB49F">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其他术语解释</w:t>
            </w:r>
          </w:p>
        </w:tc>
        <w:tc>
          <w:tcPr>
            <w:tcW w:w="5599" w:type="dxa"/>
            <w:vAlign w:val="center"/>
          </w:tcPr>
          <w:p w14:paraId="7EAF1478">
            <w:pPr>
              <w:pStyle w:val="38"/>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w:t>
            </w:r>
          </w:p>
        </w:tc>
      </w:tr>
      <w:tr w14:paraId="5AF113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1651CB5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568D4EF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第4.4款</w:t>
            </w:r>
          </w:p>
        </w:tc>
        <w:tc>
          <w:tcPr>
            <w:tcW w:w="1789" w:type="dxa"/>
            <w:vAlign w:val="center"/>
          </w:tcPr>
          <w:p w14:paraId="454DED14">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履约验收中甲方提出异议或作出说明的期限</w:t>
            </w:r>
          </w:p>
        </w:tc>
        <w:tc>
          <w:tcPr>
            <w:tcW w:w="5599" w:type="dxa"/>
            <w:vAlign w:val="center"/>
          </w:tcPr>
          <w:p w14:paraId="7E788F69">
            <w:pPr>
              <w:pStyle w:val="38"/>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在竣工验收完成后的30日内，甲方对乙方所供货物的技术性能和参数等方面的问题有提出异议的权利。</w:t>
            </w:r>
          </w:p>
        </w:tc>
      </w:tr>
      <w:tr w14:paraId="6565CB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404AA33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751227A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第4.6款</w:t>
            </w:r>
          </w:p>
        </w:tc>
        <w:tc>
          <w:tcPr>
            <w:tcW w:w="1789" w:type="dxa"/>
            <w:vAlign w:val="center"/>
          </w:tcPr>
          <w:p w14:paraId="74DD832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约定甲方承担的其他义务和责任</w:t>
            </w:r>
          </w:p>
        </w:tc>
        <w:tc>
          <w:tcPr>
            <w:tcW w:w="5599" w:type="dxa"/>
            <w:vAlign w:val="center"/>
          </w:tcPr>
          <w:p w14:paraId="76B8CDE8">
            <w:pPr>
              <w:pStyle w:val="38"/>
              <w:ind w:left="458"/>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协助、协调乙方与相关单位的配合工作</w:t>
            </w:r>
          </w:p>
        </w:tc>
      </w:tr>
      <w:tr w14:paraId="710B5D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024A0E6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32A3D2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第5.4款</w:t>
            </w:r>
          </w:p>
        </w:tc>
        <w:tc>
          <w:tcPr>
            <w:tcW w:w="1789" w:type="dxa"/>
            <w:vAlign w:val="center"/>
          </w:tcPr>
          <w:p w14:paraId="3ED18FA4">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约定乙方承担的其他义务和责任</w:t>
            </w:r>
          </w:p>
        </w:tc>
        <w:tc>
          <w:tcPr>
            <w:tcW w:w="5599" w:type="dxa"/>
            <w:vAlign w:val="center"/>
          </w:tcPr>
          <w:p w14:paraId="03809BFA">
            <w:pPr>
              <w:pStyle w:val="38"/>
              <w:ind w:firstLine="401" w:firstLineChars="19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1、乙方保证甲方在使用该货物或其任何一部分时免受第三方关于侵犯其专利权、商标权、工业设计权、知识产权等相关权利的指控。</w:t>
            </w:r>
          </w:p>
          <w:p w14:paraId="77EC81C3">
            <w:pPr>
              <w:pStyle w:val="38"/>
              <w:ind w:firstLine="401" w:firstLineChars="19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2、如货物的硬（软）件质量、规格在使用期内被证明存在缺陷，包括潜在的缺陷或使用不合适的材料，甲方或乙方有权凭有关证明文件向供方提出索赔，并交有关部门处理。</w:t>
            </w:r>
          </w:p>
          <w:p w14:paraId="25C99908">
            <w:pPr>
              <w:ind w:firstLine="420" w:firstLineChars="2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乙方逾期交付货物的，乙方应按逾期交货总额</w:t>
            </w:r>
            <w:r>
              <w:rPr>
                <w:rFonts w:hint="eastAsia" w:asciiTheme="minorEastAsia" w:hAnsiTheme="minorEastAsia" w:eastAsiaTheme="minorEastAsia" w:cstheme="minorEastAsia"/>
                <w:color w:val="auto"/>
                <w:sz w:val="21"/>
                <w:szCs w:val="21"/>
                <w:highlight w:val="none"/>
                <w:lang w:val="en-US" w:eastAsia="zh-CN"/>
              </w:rPr>
              <w:t>5‰元/天</w:t>
            </w:r>
            <w:r>
              <w:rPr>
                <w:rFonts w:hint="eastAsia" w:asciiTheme="minorEastAsia" w:hAnsiTheme="minorEastAsia" w:eastAsiaTheme="minorEastAsia" w:cstheme="minorEastAsia"/>
                <w:color w:val="auto"/>
                <w:sz w:val="21"/>
                <w:szCs w:val="21"/>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的违约金，如造成甲方损失超过违约金的，超出部分由乙方继续承担赔偿责任</w:t>
            </w:r>
            <w:r>
              <w:rPr>
                <w:rFonts w:hint="eastAsia" w:asciiTheme="minorEastAsia" w:hAnsiTheme="minorEastAsia" w:eastAsiaTheme="minorEastAsia" w:cstheme="minorEastAsia"/>
                <w:color w:val="auto"/>
                <w:sz w:val="21"/>
                <w:szCs w:val="21"/>
                <w:highlight w:val="none"/>
                <w:lang w:val="en-US" w:eastAsia="zh-CN"/>
              </w:rPr>
              <w:t xml:space="preserve">。 </w:t>
            </w:r>
          </w:p>
          <w:p w14:paraId="782C4533">
            <w:pPr>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F67400C">
            <w:pPr>
              <w:ind w:firstLine="420" w:firstLineChars="2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5、乙方如提供的货物或者人员不能满足甲方要求，甲方可要求其无条件更换，直至满足要求为止。</w:t>
            </w:r>
          </w:p>
        </w:tc>
      </w:tr>
      <w:tr w14:paraId="4F45EB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7B859722">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FB19B7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第6.1款</w:t>
            </w:r>
          </w:p>
        </w:tc>
        <w:tc>
          <w:tcPr>
            <w:tcW w:w="1789" w:type="dxa"/>
            <w:vAlign w:val="center"/>
          </w:tcPr>
          <w:p w14:paraId="3433870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履行合同义务的顺序</w:t>
            </w:r>
          </w:p>
        </w:tc>
        <w:tc>
          <w:tcPr>
            <w:tcW w:w="5599" w:type="dxa"/>
            <w:vAlign w:val="center"/>
          </w:tcPr>
          <w:p w14:paraId="6040BAC6">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p>
        </w:tc>
      </w:tr>
      <w:tr w14:paraId="4A0699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878" w:hRule="atLeast"/>
          <w:jc w:val="center"/>
        </w:trPr>
        <w:tc>
          <w:tcPr>
            <w:tcW w:w="1560" w:type="dxa"/>
            <w:vMerge w:val="restart"/>
            <w:vAlign w:val="center"/>
          </w:tcPr>
          <w:p w14:paraId="49DC3E7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08491C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第7.1款</w:t>
            </w:r>
          </w:p>
        </w:tc>
        <w:tc>
          <w:tcPr>
            <w:tcW w:w="1789" w:type="dxa"/>
            <w:vAlign w:val="center"/>
          </w:tcPr>
          <w:p w14:paraId="72D33EC9">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包装特殊要求</w:t>
            </w:r>
          </w:p>
        </w:tc>
        <w:tc>
          <w:tcPr>
            <w:tcW w:w="5599" w:type="dxa"/>
            <w:vAlign w:val="center"/>
          </w:tcPr>
          <w:p w14:paraId="0975BB53">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32DACEE9">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1.商品包装层数不得超过3 层，空隙率不大于40%；</w:t>
            </w:r>
          </w:p>
          <w:p w14:paraId="0980DE1C">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2.商品包装尽可能使用单一材质的包装材料，如因功能需求必需使用不同材质，不同材质间应便于分离；</w:t>
            </w:r>
          </w:p>
          <w:p w14:paraId="2E2C7BC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3.商品包装中铅、汞、镉、六价铬的总含量应不大于100mg/kg；</w:t>
            </w:r>
          </w:p>
          <w:p w14:paraId="322BC4FA">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4.商品包装印刷使用的油墨中挥发性有机化合物(VOCs)含量应不大于 5%（以重量计）；</w:t>
            </w:r>
          </w:p>
          <w:p w14:paraId="252EA57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5.塑料材质商品包装上呈现的印刷颜色不得超过6色；</w:t>
            </w:r>
          </w:p>
          <w:p w14:paraId="2852D99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6.纸质商品包装应使用75%以上的可再生纤维原料生产；</w:t>
            </w:r>
          </w:p>
          <w:p w14:paraId="1E41D821">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7.木质商品包装的原料应来源于可持续性森林。</w:t>
            </w:r>
          </w:p>
          <w:p w14:paraId="487EF48E">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7D8DFB14">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9每件包装箱内应附一份详细装箱单和质量合格凭证。</w:t>
            </w:r>
          </w:p>
          <w:p w14:paraId="41AD0C56">
            <w:pPr>
              <w:rPr>
                <w:rFonts w:hint="eastAsia" w:asciiTheme="minorEastAsia" w:hAnsiTheme="minorEastAsia" w:eastAsiaTheme="minorEastAsia" w:cstheme="minorEastAsia"/>
                <w:color w:val="auto"/>
                <w:sz w:val="21"/>
                <w:szCs w:val="21"/>
                <w:highlight w:val="none"/>
              </w:rPr>
            </w:pPr>
          </w:p>
        </w:tc>
      </w:tr>
      <w:tr w14:paraId="2876C1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jc w:val="center"/>
        </w:trPr>
        <w:tc>
          <w:tcPr>
            <w:tcW w:w="1560" w:type="dxa"/>
            <w:vMerge w:val="continue"/>
            <w:vAlign w:val="center"/>
          </w:tcPr>
          <w:p w14:paraId="2D20E897">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70332228">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指定现场</w:t>
            </w:r>
          </w:p>
        </w:tc>
        <w:tc>
          <w:tcPr>
            <w:tcW w:w="5599" w:type="dxa"/>
            <w:vAlign w:val="center"/>
          </w:tcPr>
          <w:p w14:paraId="15025A78">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东台市（采购人指定地点）</w:t>
            </w:r>
          </w:p>
        </w:tc>
      </w:tr>
      <w:tr w14:paraId="50F038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560" w:type="dxa"/>
            <w:vAlign w:val="center"/>
          </w:tcPr>
          <w:p w14:paraId="0522EF7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2A37D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第7.2款</w:t>
            </w:r>
          </w:p>
        </w:tc>
        <w:tc>
          <w:tcPr>
            <w:tcW w:w="1789" w:type="dxa"/>
            <w:vAlign w:val="center"/>
          </w:tcPr>
          <w:p w14:paraId="1DB4515F">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运输特殊要求</w:t>
            </w:r>
          </w:p>
        </w:tc>
        <w:tc>
          <w:tcPr>
            <w:tcW w:w="5599" w:type="dxa"/>
            <w:vAlign w:val="center"/>
          </w:tcPr>
          <w:p w14:paraId="4459641D">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1.货物验收合格、交付使用并提供所需单据的日期视为交货日期。</w:t>
            </w:r>
          </w:p>
          <w:p w14:paraId="7106915C">
            <w:pPr>
              <w:pStyle w:val="2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2.乙方在货物发运手续办理完毕后24小时内或货到48小时前通知甲方，以准备接货。（具体时间根据双方实际需求调整）</w:t>
            </w:r>
          </w:p>
          <w:p w14:paraId="366414F1">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3.乙方装运的货物不应超过合同规定的数量或重量。乙方应对超交数量或超重而产生的一切后果负责。</w:t>
            </w:r>
          </w:p>
          <w:p w14:paraId="5AF41E89">
            <w:pPr>
              <w:pStyle w:val="22"/>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4.货物在交付甲方前发生的货物损失及人员安全风险均由乙方负责。</w:t>
            </w:r>
          </w:p>
        </w:tc>
      </w:tr>
      <w:tr w14:paraId="5DCAD5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560" w:type="dxa"/>
            <w:vAlign w:val="center"/>
          </w:tcPr>
          <w:p w14:paraId="14406B73">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60A1C89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第7.3款</w:t>
            </w:r>
          </w:p>
        </w:tc>
        <w:tc>
          <w:tcPr>
            <w:tcW w:w="1789" w:type="dxa"/>
            <w:vAlign w:val="center"/>
          </w:tcPr>
          <w:p w14:paraId="6AFF6732">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保险要求</w:t>
            </w:r>
          </w:p>
        </w:tc>
        <w:tc>
          <w:tcPr>
            <w:tcW w:w="5599" w:type="dxa"/>
            <w:vAlign w:val="center"/>
          </w:tcPr>
          <w:p w14:paraId="00D29A4A">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货物交货前由乙方承担保险义务</w:t>
            </w:r>
          </w:p>
        </w:tc>
      </w:tr>
      <w:tr w14:paraId="1DD5C2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5271F4C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08ADE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第8.2（1）项</w:t>
            </w:r>
          </w:p>
        </w:tc>
        <w:tc>
          <w:tcPr>
            <w:tcW w:w="1789" w:type="dxa"/>
            <w:vAlign w:val="center"/>
          </w:tcPr>
          <w:p w14:paraId="2A8C8B7D">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质量保证期</w:t>
            </w:r>
          </w:p>
        </w:tc>
        <w:tc>
          <w:tcPr>
            <w:tcW w:w="5599" w:type="dxa"/>
            <w:vAlign w:val="center"/>
          </w:tcPr>
          <w:p w14:paraId="4646BEF1">
            <w:pPr>
              <w:pStyle w:val="13"/>
              <w:spacing w:before="120" w:beforeAutospacing="0" w:after="120" w:afterAutospacing="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货物免费质保期：不低于三年（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p>
        </w:tc>
      </w:tr>
      <w:tr w14:paraId="339C7E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64C111D">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233A14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第8.2（3）项</w:t>
            </w:r>
          </w:p>
        </w:tc>
        <w:tc>
          <w:tcPr>
            <w:tcW w:w="1789" w:type="dxa"/>
            <w:vAlign w:val="center"/>
          </w:tcPr>
          <w:p w14:paraId="35D09D5B">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货物质量缺陷</w:t>
            </w:r>
          </w:p>
          <w:p w14:paraId="54304997">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响应时间</w:t>
            </w:r>
          </w:p>
        </w:tc>
        <w:tc>
          <w:tcPr>
            <w:tcW w:w="5599" w:type="dxa"/>
            <w:vAlign w:val="center"/>
          </w:tcPr>
          <w:p w14:paraId="0FC6694B">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tc>
      </w:tr>
      <w:tr w14:paraId="27C873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360AC39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67AEFC8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第8款补充</w:t>
            </w:r>
          </w:p>
        </w:tc>
        <w:tc>
          <w:tcPr>
            <w:tcW w:w="1789" w:type="dxa"/>
            <w:vAlign w:val="center"/>
          </w:tcPr>
          <w:p w14:paraId="4D51489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质量保证要求</w:t>
            </w:r>
          </w:p>
        </w:tc>
        <w:tc>
          <w:tcPr>
            <w:tcW w:w="5599" w:type="dxa"/>
            <w:vAlign w:val="center"/>
          </w:tcPr>
          <w:p w14:paraId="31275732">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在质保期内，乙方应对货物出现的质量及安全问题负责处理解决并承担一切费用（因甲方不当使用的除外）。</w:t>
            </w:r>
          </w:p>
          <w:p w14:paraId="17CFA3D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2.乙方应按照国家有关法律法规规章和“三包”规定以及招标文件售后服务要求及投标文件售后服务承诺提供售后服务。</w:t>
            </w:r>
          </w:p>
          <w:p w14:paraId="2154F7F8">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3.所有货物保修服务方式均为乙方上门保修，由乙方派员到货物使用现场维修，所产生的一切费用由乙方承担（双方视项目情况调整）。</w:t>
            </w:r>
          </w:p>
          <w:p w14:paraId="75AAA36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CBEE6A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547F9AA3">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5A838F5A">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57D7B0DA">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6D7F817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074D523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E601DC">
            <w:pPr>
              <w:widowControl/>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第11.1款</w:t>
            </w:r>
          </w:p>
        </w:tc>
        <w:tc>
          <w:tcPr>
            <w:tcW w:w="1789" w:type="dxa"/>
            <w:vAlign w:val="center"/>
          </w:tcPr>
          <w:p w14:paraId="724549E3">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其他应当保密的信息</w:t>
            </w:r>
          </w:p>
        </w:tc>
        <w:tc>
          <w:tcPr>
            <w:tcW w:w="5599" w:type="dxa"/>
            <w:vAlign w:val="center"/>
          </w:tcPr>
          <w:p w14:paraId="4547FC7C">
            <w:pPr>
              <w:pStyle w:val="13"/>
              <w:keepNext w:val="0"/>
              <w:keepLines w:val="0"/>
              <w:pageBreakBefore w:val="0"/>
              <w:widowControl w:val="0"/>
              <w:kinsoku/>
              <w:wordWrap/>
              <w:overflowPunct/>
              <w:topLinePunct w:val="0"/>
              <w:autoSpaceDE/>
              <w:autoSpaceDN/>
              <w:bidi w:val="0"/>
              <w:adjustRightInd/>
              <w:snapToGrid/>
              <w:spacing w:beforeAutospacing="0" w:afterAutospacing="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乙方在任何情况下的泄密给甲方造成不良影响时，甲方有权立即终止合同并不支付全部货款（货款已付时乙方须无条款退还已收到的全部货款），同时支付20%的违约金，并作为不良记录公示。</w:t>
            </w:r>
          </w:p>
        </w:tc>
      </w:tr>
      <w:tr w14:paraId="37CDB75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14:paraId="4A9F30D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EC850C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第12.2款</w:t>
            </w:r>
          </w:p>
        </w:tc>
        <w:tc>
          <w:tcPr>
            <w:tcW w:w="1789" w:type="dxa"/>
            <w:vAlign w:val="center"/>
          </w:tcPr>
          <w:p w14:paraId="34350139">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合同价款支付时间及要求</w:t>
            </w:r>
          </w:p>
        </w:tc>
        <w:tc>
          <w:tcPr>
            <w:tcW w:w="5599" w:type="dxa"/>
            <w:vAlign w:val="center"/>
          </w:tcPr>
          <w:p w14:paraId="2C9B1A3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1.合同款项的支付方式及进度安排：详见合同协议书。</w:t>
            </w:r>
          </w:p>
          <w:p w14:paraId="40C380D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7F9596C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发票；</w:t>
            </w:r>
          </w:p>
          <w:p w14:paraId="4D460A8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制造厂家出具的质量检验证书等；</w:t>
            </w:r>
          </w:p>
          <w:p w14:paraId="3A75AFD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装箱单；</w:t>
            </w:r>
          </w:p>
          <w:p w14:paraId="2BA92EB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 甲方加盖公章证明交付使用合格的验收单。</w:t>
            </w:r>
          </w:p>
          <w:p w14:paraId="1981753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 报送手续所需的相关货物文件或安装资料。</w:t>
            </w:r>
          </w:p>
        </w:tc>
      </w:tr>
      <w:tr w14:paraId="763B4C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14:paraId="531E334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CE6C5F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第13.2款</w:t>
            </w:r>
          </w:p>
        </w:tc>
        <w:tc>
          <w:tcPr>
            <w:tcW w:w="1789" w:type="dxa"/>
            <w:vAlign w:val="center"/>
          </w:tcPr>
          <w:p w14:paraId="0858F406">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履约保证金不予退还的情形</w:t>
            </w:r>
          </w:p>
        </w:tc>
        <w:tc>
          <w:tcPr>
            <w:tcW w:w="5599" w:type="dxa"/>
            <w:vAlign w:val="center"/>
          </w:tcPr>
          <w:p w14:paraId="7FB00A9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除不可抗力情况外，投标人出现下列情形之一的，其履约保证金，招标人将视情节决定不予退还或部分不予退还。</w:t>
            </w:r>
          </w:p>
          <w:p w14:paraId="41B90C3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（1）中标人无正当理由拒绝签订合同的，或者在签订合同时向采购人提出附加条件或者更改合同实质性内容要求的；</w:t>
            </w:r>
          </w:p>
          <w:p w14:paraId="7EE7B1E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（2）中标人不履行与采购人订立的合同的；</w:t>
            </w:r>
          </w:p>
          <w:p w14:paraId="06241A2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（3）中标人所供货物或服务不符合招标文件规定要求的；</w:t>
            </w:r>
          </w:p>
          <w:p w14:paraId="2931B2C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（4）中标人采取欺骗、弄虚作假方式投标的或与</w:t>
            </w:r>
            <w:r>
              <w:rPr>
                <w:rFonts w:hint="eastAsia" w:asciiTheme="minorEastAsia" w:hAnsiTheme="minorEastAsia" w:eastAsiaTheme="minorEastAsia" w:cstheme="minorEastAsia"/>
                <w:color w:val="auto"/>
                <w:sz w:val="21"/>
                <w:szCs w:val="21"/>
                <w:highlight w:val="none"/>
                <w:lang w:eastAsia="zh-CN"/>
              </w:rPr>
              <w:t>其他</w:t>
            </w:r>
            <w:r>
              <w:rPr>
                <w:rFonts w:hint="eastAsia" w:asciiTheme="minorEastAsia" w:hAnsiTheme="minorEastAsia" w:eastAsiaTheme="minorEastAsia" w:cstheme="minorEastAsia"/>
                <w:color w:val="auto"/>
                <w:sz w:val="21"/>
                <w:szCs w:val="21"/>
                <w:highlight w:val="none"/>
              </w:rPr>
              <w:t>投标人串通投标的；</w:t>
            </w:r>
          </w:p>
          <w:p w14:paraId="601E3DF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（5）中标人将合同内容转包、违法分包的；</w:t>
            </w:r>
          </w:p>
          <w:p w14:paraId="5F31D4F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（6）中标人故意捏造事实或伪造证明材料，进行虚假恶意投诉或反映的。</w:t>
            </w:r>
          </w:p>
        </w:tc>
      </w:tr>
      <w:tr w14:paraId="5D6177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3B8999E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7BE5DC5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第13.3款</w:t>
            </w:r>
          </w:p>
        </w:tc>
        <w:tc>
          <w:tcPr>
            <w:tcW w:w="1789" w:type="dxa"/>
            <w:vAlign w:val="center"/>
          </w:tcPr>
          <w:p w14:paraId="4B85958C">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履约保证金退还时间及逾期退还的违约金</w:t>
            </w:r>
          </w:p>
        </w:tc>
        <w:tc>
          <w:tcPr>
            <w:tcW w:w="5599" w:type="dxa"/>
            <w:vAlign w:val="center"/>
          </w:tcPr>
          <w:p w14:paraId="1053690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1、合同履行结束后，甲方应及时退还交纳的履约保证金。</w:t>
            </w:r>
          </w:p>
          <w:p w14:paraId="74CEAF1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2、退还方式：退还至投标人缴纳履约保证金的账户。如为保函，在到期时自行失效。</w:t>
            </w:r>
          </w:p>
          <w:p w14:paraId="5A068B7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3、退还时间：验收合格且甲方收到发票后30日内。</w:t>
            </w:r>
          </w:p>
          <w:p w14:paraId="61C81AF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4、退还条件：</w:t>
            </w:r>
            <w:r>
              <w:rPr>
                <w:rFonts w:hint="eastAsia" w:asciiTheme="minorEastAsia" w:hAnsiTheme="minorEastAsia" w:eastAsiaTheme="minorEastAsia" w:cstheme="minorEastAsia"/>
                <w:color w:val="auto"/>
                <w:sz w:val="21"/>
                <w:szCs w:val="21"/>
                <w:highlight w:val="none"/>
                <w:lang w:eastAsia="zh-CN"/>
              </w:rPr>
              <w:t>安装调试完毕并经采购人验收合格并移交全部资料</w:t>
            </w:r>
            <w:r>
              <w:rPr>
                <w:rFonts w:hint="eastAsia" w:asciiTheme="minorEastAsia" w:hAnsiTheme="minorEastAsia" w:eastAsiaTheme="minorEastAsia" w:cstheme="minorEastAsia"/>
                <w:color w:val="auto"/>
                <w:sz w:val="21"/>
                <w:szCs w:val="21"/>
                <w:highlight w:val="none"/>
              </w:rPr>
              <w:t>，且采购人收到中标人出具的发票。</w:t>
            </w:r>
          </w:p>
          <w:p w14:paraId="0253D24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298444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14:paraId="3E10293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A4757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第14.1（3）项</w:t>
            </w:r>
          </w:p>
        </w:tc>
        <w:tc>
          <w:tcPr>
            <w:tcW w:w="1789" w:type="dxa"/>
            <w:vAlign w:val="center"/>
          </w:tcPr>
          <w:p w14:paraId="0FA5DD16">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运行监督、维修期限</w:t>
            </w:r>
          </w:p>
        </w:tc>
        <w:tc>
          <w:tcPr>
            <w:tcW w:w="5599" w:type="dxa"/>
            <w:shd w:val="clear" w:color="auto" w:fill="auto"/>
            <w:vAlign w:val="center"/>
          </w:tcPr>
          <w:p w14:paraId="490B17E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详见合同协议书</w:t>
            </w:r>
          </w:p>
        </w:tc>
      </w:tr>
      <w:tr w14:paraId="249C28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14:paraId="2A12AB9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16F2EA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第14.1（5）项</w:t>
            </w:r>
          </w:p>
        </w:tc>
        <w:tc>
          <w:tcPr>
            <w:tcW w:w="1789" w:type="dxa"/>
            <w:vAlign w:val="center"/>
          </w:tcPr>
          <w:p w14:paraId="7EF7780C">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货物回收的约定</w:t>
            </w:r>
          </w:p>
        </w:tc>
        <w:tc>
          <w:tcPr>
            <w:tcW w:w="5599" w:type="dxa"/>
            <w:vAlign w:val="center"/>
          </w:tcPr>
          <w:p w14:paraId="68BDC35A">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p>
        </w:tc>
      </w:tr>
      <w:tr w14:paraId="2BDA2F1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FA1398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100815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第14.1（6）项</w:t>
            </w:r>
          </w:p>
        </w:tc>
        <w:tc>
          <w:tcPr>
            <w:tcW w:w="1789" w:type="dxa"/>
            <w:vAlign w:val="center"/>
          </w:tcPr>
          <w:p w14:paraId="475F707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乙方提供的其他服务</w:t>
            </w:r>
          </w:p>
        </w:tc>
        <w:tc>
          <w:tcPr>
            <w:tcW w:w="5599" w:type="dxa"/>
            <w:vAlign w:val="center"/>
          </w:tcPr>
          <w:p w14:paraId="5BCE643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1.所有货物免费送达甲方指定地点，货物的托运、安装及预装常用软件（如需要）等，均不需另行付费。</w:t>
            </w:r>
          </w:p>
          <w:p w14:paraId="70876D3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2.项目实施期间乙方人员安全和财产损失均由乙方负责，与甲方无涉。</w:t>
            </w:r>
          </w:p>
          <w:p w14:paraId="28C637E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3.根据厂方的规定对所供货物进行保修，在质量保证期内，乙方不得收取任何费用；质量保证期满后，乙方对用户货物的维修，只收成本费，并提供终生技术服务。</w:t>
            </w:r>
          </w:p>
          <w:p w14:paraId="6ABC80F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4.如甲方使用不当造成货物的毁损，乙方有义务协助维修。</w:t>
            </w:r>
          </w:p>
        </w:tc>
      </w:tr>
      <w:tr w14:paraId="2678C8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C88FB2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A601BA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第15.1款</w:t>
            </w:r>
          </w:p>
        </w:tc>
        <w:tc>
          <w:tcPr>
            <w:tcW w:w="1789" w:type="dxa"/>
            <w:vAlign w:val="center"/>
          </w:tcPr>
          <w:p w14:paraId="1261ACC0">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修理、重</w:t>
            </w:r>
            <w:r>
              <w:rPr>
                <w:rFonts w:hint="eastAsia" w:asciiTheme="minorEastAsia" w:hAnsiTheme="minorEastAsia" w:eastAsiaTheme="minorEastAsia" w:cstheme="minorEastAsia"/>
                <w:color w:val="auto"/>
                <w:sz w:val="21"/>
                <w:szCs w:val="21"/>
                <w:highlight w:val="none"/>
                <w:lang w:eastAsia="zh-CN"/>
              </w:rPr>
              <w:t>做</w:t>
            </w:r>
            <w:r>
              <w:rPr>
                <w:rFonts w:hint="eastAsia" w:asciiTheme="minorEastAsia" w:hAnsiTheme="minorEastAsia" w:eastAsiaTheme="minorEastAsia" w:cstheme="minorEastAsia"/>
                <w:color w:val="auto"/>
                <w:sz w:val="21"/>
                <w:szCs w:val="21"/>
                <w:highlight w:val="none"/>
              </w:rPr>
              <w:t>、更换相关具体规定</w:t>
            </w:r>
          </w:p>
        </w:tc>
        <w:tc>
          <w:tcPr>
            <w:tcW w:w="5599" w:type="dxa"/>
            <w:vAlign w:val="center"/>
          </w:tcPr>
          <w:p w14:paraId="5353FC8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详见合同通用条款8.2条款、合同专用条款第二节第8款补充条款及合同专用条款中索赔条款。</w:t>
            </w:r>
          </w:p>
          <w:p w14:paraId="54D22CD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43FA6B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6F137E4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993100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第15.2（2）项</w:t>
            </w:r>
          </w:p>
        </w:tc>
        <w:tc>
          <w:tcPr>
            <w:tcW w:w="1789" w:type="dxa"/>
            <w:vAlign w:val="center"/>
          </w:tcPr>
          <w:p w14:paraId="490C588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迟延交货赔偿费</w:t>
            </w:r>
          </w:p>
        </w:tc>
        <w:tc>
          <w:tcPr>
            <w:tcW w:w="5599" w:type="dxa"/>
            <w:vAlign w:val="center"/>
          </w:tcPr>
          <w:p w14:paraId="2983682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1.乙方应按照“开标（报价）一览表”中规定的交货期或承诺交货和提供服务，并交付甲方验收使用。</w:t>
            </w:r>
          </w:p>
          <w:p w14:paraId="00C8978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2.如果乙方无正当理由拖延交货，将受到以下制裁：加收误期赔偿或终止合同。</w:t>
            </w:r>
          </w:p>
          <w:p w14:paraId="1BA34D8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乙方逾期交付货物的，乙方应按逾期交货总额每日0.5% 向甲方支付违约金，由甲方从待付货款中扣除。逾期超过约定日期</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的违约金，如造成甲方损失超过违约金的，超出部分由乙方继续承担赔偿责任。 </w:t>
            </w:r>
          </w:p>
          <w:p w14:paraId="5F4C232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4.如乙方不能交付货物，或者有违法转包他人情形，乙方应向甲方支付合同总价</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的滞纳金。</w:t>
            </w:r>
          </w:p>
          <w:p w14:paraId="1F31FCD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p>
        </w:tc>
      </w:tr>
      <w:tr w14:paraId="208FF5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AD986A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1EFC0C8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第15.3款</w:t>
            </w:r>
          </w:p>
        </w:tc>
        <w:tc>
          <w:tcPr>
            <w:tcW w:w="1789" w:type="dxa"/>
            <w:vAlign w:val="center"/>
          </w:tcPr>
          <w:p w14:paraId="132F665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逾期付款利息</w:t>
            </w:r>
          </w:p>
        </w:tc>
        <w:tc>
          <w:tcPr>
            <w:tcW w:w="5599" w:type="dxa"/>
            <w:vAlign w:val="center"/>
          </w:tcPr>
          <w:p w14:paraId="2B68830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甲方无故逾期验收和办理合同款项支付手续的, 将按银行同期存款利率支付逾期付款部分的利息。</w:t>
            </w:r>
          </w:p>
        </w:tc>
      </w:tr>
      <w:tr w14:paraId="3CA321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560" w:type="dxa"/>
            <w:tcBorders>
              <w:bottom w:val="single" w:color="000000" w:sz="2" w:space="0"/>
              <w:right w:val="single" w:color="000000" w:sz="2" w:space="0"/>
            </w:tcBorders>
            <w:vAlign w:val="center"/>
          </w:tcPr>
          <w:p w14:paraId="29B20F8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965C8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第15.4款</w:t>
            </w:r>
          </w:p>
        </w:tc>
        <w:tc>
          <w:tcPr>
            <w:tcW w:w="1789" w:type="dxa"/>
            <w:tcBorders>
              <w:left w:val="single" w:color="000000" w:sz="2" w:space="0"/>
              <w:bottom w:val="single" w:color="000000" w:sz="2" w:space="0"/>
              <w:right w:val="single" w:color="000000" w:sz="2" w:space="0"/>
            </w:tcBorders>
            <w:vAlign w:val="center"/>
          </w:tcPr>
          <w:p w14:paraId="2253567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其他违约责任</w:t>
            </w:r>
          </w:p>
        </w:tc>
        <w:tc>
          <w:tcPr>
            <w:tcW w:w="5599" w:type="dxa"/>
            <w:tcBorders>
              <w:left w:val="single" w:color="000000" w:sz="2" w:space="0"/>
              <w:bottom w:val="single" w:color="000000" w:sz="2" w:space="0"/>
            </w:tcBorders>
            <w:vAlign w:val="center"/>
          </w:tcPr>
          <w:p w14:paraId="7D8518F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1、乙方交付合同标的的标准不符合合同规定及招标文件规定标准的，甲方有权拒绝接受合同标的，并可单方面解除合同。</w:t>
            </w:r>
          </w:p>
          <w:p w14:paraId="28452B5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2、详见附件</w:t>
            </w:r>
          </w:p>
        </w:tc>
      </w:tr>
      <w:tr w14:paraId="5C9AC4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0" w:type="dxa"/>
            <w:tcBorders>
              <w:top w:val="single" w:color="000000" w:sz="2" w:space="0"/>
              <w:right w:val="single" w:color="000000" w:sz="2" w:space="0"/>
            </w:tcBorders>
            <w:vAlign w:val="center"/>
          </w:tcPr>
          <w:p w14:paraId="35FB72A1">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B2336B">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第19.2款</w:t>
            </w:r>
          </w:p>
        </w:tc>
        <w:tc>
          <w:tcPr>
            <w:tcW w:w="1789" w:type="dxa"/>
            <w:tcBorders>
              <w:top w:val="single" w:color="000000" w:sz="2" w:space="0"/>
              <w:left w:val="single" w:color="000000" w:sz="2" w:space="0"/>
              <w:right w:val="single" w:color="000000" w:sz="2" w:space="0"/>
            </w:tcBorders>
            <w:vAlign w:val="center"/>
          </w:tcPr>
          <w:p w14:paraId="02087E9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解决争议的方法</w:t>
            </w:r>
          </w:p>
        </w:tc>
        <w:tc>
          <w:tcPr>
            <w:tcW w:w="5599" w:type="dxa"/>
            <w:tcBorders>
              <w:top w:val="single" w:color="000000" w:sz="2" w:space="0"/>
              <w:left w:val="single" w:color="000000" w:sz="2" w:space="0"/>
            </w:tcBorders>
            <w:vAlign w:val="center"/>
          </w:tcPr>
          <w:p w14:paraId="6201707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1.因本合同及合同有关事项发生的争议，由双方协商解决，协商不成时，按下列第</w:t>
            </w:r>
            <w:r>
              <w:rPr>
                <w:rFonts w:hint="eastAsia" w:asciiTheme="minorEastAsia" w:hAnsiTheme="minorEastAsia" w:eastAsiaTheme="minorEastAsia" w:cstheme="minorEastAsia"/>
                <w:color w:val="auto"/>
                <w:sz w:val="21"/>
                <w:szCs w:val="21"/>
                <w:highlight w:val="none"/>
                <w:u w:val="single"/>
              </w:rPr>
              <w:t>（2）</w:t>
            </w:r>
            <w:r>
              <w:rPr>
                <w:rFonts w:hint="eastAsia" w:asciiTheme="minorEastAsia" w:hAnsiTheme="minorEastAsia" w:eastAsiaTheme="minorEastAsia" w:cstheme="minorEastAsia"/>
                <w:color w:val="auto"/>
                <w:sz w:val="21"/>
                <w:szCs w:val="21"/>
                <w:highlight w:val="none"/>
              </w:rPr>
              <w:t>种方式解决：</w:t>
            </w:r>
          </w:p>
          <w:p w14:paraId="1150B65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（1）向仲裁委员会申请仲裁，仲裁地点为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4BB7BE7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（2）向甲方所在地人民法院起诉。</w:t>
            </w:r>
          </w:p>
          <w:p w14:paraId="256E93A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纠纷解决办法</w:t>
            </w:r>
          </w:p>
          <w:p w14:paraId="763887B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6955A6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0A75DD1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CECBFED">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第23.1款</w:t>
            </w:r>
          </w:p>
        </w:tc>
        <w:tc>
          <w:tcPr>
            <w:tcW w:w="1789" w:type="dxa"/>
            <w:vAlign w:val="center"/>
          </w:tcPr>
          <w:p w14:paraId="108E541B">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其他专用条款</w:t>
            </w:r>
          </w:p>
        </w:tc>
        <w:tc>
          <w:tcPr>
            <w:tcW w:w="5599" w:type="dxa"/>
            <w:vAlign w:val="center"/>
          </w:tcPr>
          <w:p w14:paraId="363E8D3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6A56714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41AF271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3.验收不合格的货物，乙方应在</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color w:val="auto"/>
                <w:sz w:val="21"/>
                <w:szCs w:val="21"/>
                <w:highlight w:val="none"/>
                <w:u w:val="single"/>
                <w:lang w:val="en-US" w:eastAsia="zh-CN"/>
              </w:rPr>
              <w:t>5</w:t>
            </w:r>
            <w:r>
              <w:rPr>
                <w:rFonts w:hint="eastAsia" w:asciiTheme="minorEastAsia" w:hAnsiTheme="minorEastAsia" w:eastAsiaTheme="minorEastAsia" w:cstheme="minorEastAsia"/>
                <w:color w:val="auto"/>
                <w:sz w:val="21"/>
                <w:szCs w:val="21"/>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E55C4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4.货物验收要求</w:t>
            </w:r>
          </w:p>
          <w:p w14:paraId="28C60ED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（1）依照招标文件要求对全部货物、型号、规格、数量、外型、外观、包装及资料、文件（如装箱单、保修单、随箱介质等）进行验收。</w:t>
            </w:r>
          </w:p>
          <w:p w14:paraId="283C7CB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（2）甲方与乙方对货物到货后共同进行开箱检查，出现损坏、数量不全或产品不对等问题时，由乙方负责解决。</w:t>
            </w:r>
          </w:p>
          <w:p w14:paraId="1B2F8A2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（3）甲方有权从乙方所送货物中任意抽出不同型号的产品送采购人所在地的质检部门检验，如果检验合格，检验费由甲方负担；如果检验不合格，则检验费由乙方负担。</w:t>
            </w:r>
          </w:p>
          <w:p w14:paraId="5A32C7E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（4）乙方应按照本合同规定的时间、地点和方式向乙方交付货物。</w:t>
            </w:r>
          </w:p>
          <w:p w14:paraId="13A5F2C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交货时间：</w:t>
            </w:r>
            <w:r>
              <w:rPr>
                <w:rFonts w:hint="eastAsia" w:asciiTheme="minorEastAsia" w:hAnsiTheme="minorEastAsia" w:eastAsiaTheme="minorEastAsia" w:cstheme="minorEastAsia"/>
                <w:color w:val="auto"/>
                <w:sz w:val="21"/>
                <w:szCs w:val="21"/>
                <w:highlight w:val="none"/>
                <w:lang w:val="en-US" w:eastAsia="zh-CN"/>
              </w:rPr>
              <w:t>合同签订之日起</w:t>
            </w:r>
            <w:r>
              <w:rPr>
                <w:rFonts w:hint="eastAsia" w:asciiTheme="minorEastAsia" w:hAnsiTheme="minorEastAsia" w:cstheme="minorEastAsia"/>
                <w:color w:val="auto"/>
                <w:sz w:val="21"/>
                <w:szCs w:val="21"/>
                <w:highlight w:val="none"/>
                <w:u w:val="single"/>
                <w:lang w:val="en-US" w:eastAsia="zh-CN"/>
              </w:rPr>
              <w:t>15</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lang w:val="en-US" w:eastAsia="zh-CN"/>
              </w:rPr>
              <w:t>内</w:t>
            </w:r>
            <w:r>
              <w:rPr>
                <w:rFonts w:hint="eastAsia" w:asciiTheme="minorEastAsia" w:hAnsiTheme="minorEastAsia" w:eastAsiaTheme="minorEastAsia" w:cstheme="minorEastAsia"/>
                <w:color w:val="auto"/>
                <w:sz w:val="21"/>
                <w:szCs w:val="21"/>
                <w:highlight w:val="none"/>
              </w:rPr>
              <w:t>完成供货（安装）并交付使用。</w:t>
            </w:r>
          </w:p>
          <w:p w14:paraId="113AB87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东台市（采购人指定地点）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A65505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（5）甲方应在全部货物到货安装完毕后</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乙方提出验收申请之日起</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7</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日内进行验收，验收包括：型号、规格、数量、外观是否完好，安装调试是否合格等。验收合格后甲方应在验收报告上签字盖章。</w:t>
            </w:r>
          </w:p>
          <w:p w14:paraId="4785143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货到现场后，甲方人员根据招标要求，对包装物进行视检和抽检，如包装物不符合招标要求，甲方有权将包装物送至市级及以上检测机构送检。因检测不合格延误了交付进度，乙方应承担相应的违约责任和经济赔偿责任。</w:t>
            </w:r>
          </w:p>
        </w:tc>
      </w:tr>
      <w:tr w14:paraId="315CAC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47D11836">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51451A72">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税费</w:t>
            </w:r>
          </w:p>
        </w:tc>
        <w:tc>
          <w:tcPr>
            <w:tcW w:w="5599" w:type="dxa"/>
            <w:vAlign w:val="center"/>
          </w:tcPr>
          <w:p w14:paraId="11423AA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1.中国政府根据现行税法规定对甲方征收的与本合同有关的一切税费均由甲方负担（免税部分除外），招标文件另有规定的除外。</w:t>
            </w:r>
          </w:p>
          <w:p w14:paraId="5B0D0D4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2.中国政府根据现行税法规定对乙方征收的与本合同有关的一切税费均由乙方负担（免税部分除外）。</w:t>
            </w:r>
          </w:p>
        </w:tc>
      </w:tr>
      <w:tr w14:paraId="7944B1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5CC6B0D8">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1E4CFA99">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伴随服务</w:t>
            </w:r>
          </w:p>
        </w:tc>
        <w:tc>
          <w:tcPr>
            <w:tcW w:w="5599" w:type="dxa"/>
            <w:vAlign w:val="center"/>
          </w:tcPr>
          <w:p w14:paraId="7704FB6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1.乙方应按照国家</w:t>
            </w:r>
            <w:r>
              <w:rPr>
                <w:rFonts w:hint="eastAsia" w:asciiTheme="minorEastAsia" w:hAnsiTheme="minorEastAsia" w:eastAsiaTheme="minorEastAsia" w:cstheme="minorEastAsia"/>
                <w:b/>
                <w:color w:val="auto"/>
                <w:sz w:val="21"/>
                <w:szCs w:val="21"/>
                <w:highlight w:val="none"/>
              </w:rPr>
              <w:t>“新三包”</w:t>
            </w:r>
            <w:r>
              <w:rPr>
                <w:rFonts w:hint="eastAsia" w:asciiTheme="minorEastAsia" w:hAnsiTheme="minorEastAsia" w:eastAsiaTheme="minorEastAsia" w:cstheme="minorEastAsia"/>
                <w:color w:val="auto"/>
                <w:sz w:val="21"/>
                <w:szCs w:val="21"/>
                <w:highlight w:val="none"/>
              </w:rPr>
              <w:t>规定和合同中所附的服务承诺提供服务。</w:t>
            </w:r>
          </w:p>
          <w:p w14:paraId="0BCAE6E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2.除第1条规定外，乙方还应提供下列服务：</w:t>
            </w:r>
          </w:p>
          <w:p w14:paraId="10E67A26">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(1) 招标文件中的“服务要求”所规定的服务内容以及投标文件承诺提供的其他服务内容；</w:t>
            </w:r>
          </w:p>
          <w:p w14:paraId="11F6A3A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负责货物的开孔，货物的现场安装；</w:t>
            </w:r>
          </w:p>
          <w:p w14:paraId="0558097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(3) 提供货物组装和维修所需的工具；</w:t>
            </w:r>
          </w:p>
          <w:p w14:paraId="53478E5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(4) 在合同中乙方承诺的质保期限内对所提供货物正常使用实施监督、维修，但前提条件是该服务并不能免除乙方在质量保证期内应承担的义务；</w:t>
            </w:r>
          </w:p>
          <w:p w14:paraId="6389A01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(5) 在货物交货现场就货物的安装、启用、维护等对甲方人员进行培训。</w:t>
            </w:r>
          </w:p>
          <w:p w14:paraId="2FB91DE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3.伴随服务的费用应含在合同价中，不单独进行支付。</w:t>
            </w:r>
          </w:p>
        </w:tc>
      </w:tr>
      <w:tr w14:paraId="69FBA3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6285733F">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6947C6BE">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索赔</w:t>
            </w:r>
          </w:p>
          <w:p w14:paraId="1F054C8B">
            <w:pPr>
              <w:jc w:val="left"/>
              <w:rPr>
                <w:rFonts w:hint="eastAsia" w:asciiTheme="minorEastAsia" w:hAnsiTheme="minorEastAsia" w:eastAsiaTheme="minorEastAsia" w:cstheme="minorEastAsia"/>
                <w:color w:val="auto"/>
                <w:sz w:val="21"/>
                <w:szCs w:val="21"/>
                <w:highlight w:val="none"/>
              </w:rPr>
            </w:pPr>
          </w:p>
        </w:tc>
        <w:tc>
          <w:tcPr>
            <w:tcW w:w="5599" w:type="dxa"/>
            <w:vAlign w:val="center"/>
          </w:tcPr>
          <w:p w14:paraId="330A145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1.甲方有权根据当地质检部门出具的检验报告，向乙方提出索赔。</w:t>
            </w:r>
          </w:p>
          <w:p w14:paraId="44DDA41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2.根据合同规定的检验期和质量保证期内，如果乙方对甲方提出的索赔和差异负有责任，乙方应按照甲方同意的下列一种或多种方式解决索赔事宜：</w:t>
            </w:r>
          </w:p>
          <w:p w14:paraId="03B116E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1998662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根据货物的低劣程度、损坏程度以及甲方所遭受损失的数额，乙方必须降低货物的价格。</w:t>
            </w:r>
          </w:p>
          <w:p w14:paraId="2FA149D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5714CCE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51B275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32C10D4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p>
        </w:tc>
        <w:tc>
          <w:tcPr>
            <w:tcW w:w="1789" w:type="dxa"/>
            <w:vAlign w:val="center"/>
          </w:tcPr>
          <w:p w14:paraId="2E3DBDB9">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合同生效</w:t>
            </w:r>
            <w:r>
              <w:rPr>
                <w:rFonts w:hint="eastAsia" w:asciiTheme="minorEastAsia" w:hAnsiTheme="minorEastAsia" w:eastAsiaTheme="minorEastAsia" w:cstheme="minorEastAsia"/>
                <w:color w:val="auto"/>
                <w:sz w:val="21"/>
                <w:szCs w:val="21"/>
                <w:highlight w:val="none"/>
                <w:lang w:eastAsia="zh-CN"/>
              </w:rPr>
              <w:t>及其他</w:t>
            </w:r>
          </w:p>
          <w:p w14:paraId="624442EB">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bCs/>
                <w:color w:val="auto"/>
                <w:sz w:val="21"/>
                <w:szCs w:val="21"/>
                <w:highlight w:val="none"/>
              </w:rPr>
            </w:pPr>
          </w:p>
        </w:tc>
        <w:tc>
          <w:tcPr>
            <w:tcW w:w="5599" w:type="dxa"/>
            <w:vAlign w:val="center"/>
          </w:tcPr>
          <w:p w14:paraId="11F2FA2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合同经甲方、乙方盖章后生效。</w:t>
            </w:r>
          </w:p>
          <w:p w14:paraId="6BD95E7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货物交付使用后所发生的合同纠纷，由甲方与乙方协商处理。</w:t>
            </w:r>
          </w:p>
          <w:p w14:paraId="0E03AB9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7FBECE8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4.本合同应按照中华人民共和国的现行法律进行解释。本合同未尽事宜，遵照《民法典》、《政府采购法》、国家法律法规、行业规范等有关条文执行。</w:t>
            </w:r>
          </w:p>
        </w:tc>
      </w:tr>
    </w:tbl>
    <w:p w14:paraId="68F6E762">
      <w:pPr>
        <w:pStyle w:val="13"/>
        <w:spacing w:before="120" w:beforeAutospacing="0" w:after="120" w:afterAutospacing="0" w:line="0" w:lineRule="atLeast"/>
        <w:jc w:val="center"/>
        <w:rPr>
          <w:rFonts w:hint="eastAsia" w:ascii="黑体" w:hAnsi="宋体" w:eastAsia="黑体" w:cs="黑体"/>
          <w:color w:val="auto"/>
          <w:sz w:val="44"/>
          <w:szCs w:val="44"/>
          <w:highlight w:val="none"/>
        </w:rPr>
      </w:pPr>
    </w:p>
    <w:p w14:paraId="33B9E722">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0E1056E1">
      <w:pPr>
        <w:pStyle w:val="13"/>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57"/>
      <w:r>
        <w:rPr>
          <w:rFonts w:hint="eastAsia" w:ascii="黑体" w:hAnsi="宋体" w:eastAsia="黑体" w:cs="黑体"/>
          <w:color w:val="auto"/>
          <w:sz w:val="44"/>
          <w:szCs w:val="44"/>
          <w:highlight w:val="none"/>
        </w:rPr>
        <w:t>四章 采购需求</w:t>
      </w:r>
      <w:bookmarkEnd w:id="158"/>
      <w:bookmarkEnd w:id="159"/>
      <w:bookmarkEnd w:id="160"/>
      <w:bookmarkEnd w:id="161"/>
      <w:bookmarkEnd w:id="162"/>
    </w:p>
    <w:p w14:paraId="61C3BE9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70" w:name="_Toc49090575"/>
      <w:bookmarkStart w:id="171" w:name="_Toc26554093"/>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。（此为固定内容）</w:t>
      </w:r>
      <w:bookmarkEnd w:id="170"/>
      <w:bookmarkEnd w:id="171"/>
    </w:p>
    <w:p w14:paraId="485C620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5615E4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097900A3">
      <w:pPr>
        <w:keepNext w:val="0"/>
        <w:keepLines w:val="0"/>
        <w:pageBreakBefore w:val="0"/>
        <w:widowControl w:val="0"/>
        <w:spacing w:line="460" w:lineRule="exact"/>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其内容包含：</w:t>
      </w:r>
    </w:p>
    <w:p w14:paraId="2E32BF1A">
      <w:pPr>
        <w:spacing w:line="46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一、建设依据：</w:t>
      </w:r>
    </w:p>
    <w:p w14:paraId="13C3223F">
      <w:pPr>
        <w:spacing w:line="460" w:lineRule="exact"/>
        <w:ind w:left="0" w:firstLine="480" w:firstLineChars="200"/>
        <w:rPr>
          <w:rFonts w:hint="eastAsia" w:ascii="宋体" w:hAnsi="宋体" w:cs="宋体"/>
          <w:color w:val="auto"/>
          <w:sz w:val="24"/>
          <w:highlight w:val="none"/>
        </w:rPr>
      </w:pPr>
      <w:bookmarkStart w:id="172" w:name="_Toc120614281"/>
      <w:r>
        <w:rPr>
          <w:rFonts w:hint="eastAsia" w:ascii="宋体" w:hAnsi="宋体" w:cs="宋体"/>
          <w:color w:val="auto"/>
          <w:sz w:val="24"/>
          <w:highlight w:val="none"/>
        </w:rPr>
        <w:t>全球经济环境急剧变化，云计算、大数据、物联网、区块链、人工智能、人机交互、机器深度学习、互联网+等新兴信息技术正在颠覆传统商业，催生新的商业范式。数字化、智能化时代，随着“大智移云物区”等新技术的普及应用，企业纷纷进行数智化转型与管理升级，企业价值创造与价值整合的要求越来越迫切，企业正在经历业务数智化转型、管理创新、组织重构、商业模式重构等变化，对企业的经营管理领域的工作诸多方面产生了多元化的挑战。在数字化企业中，以财务为例，有11%财务工作已由人工智能承担，预计三年后人工智能替代比例将提升至 75%，这意味着，未来日常基础和高频的基础会计工作（例如：凭证编制、账本登记和报表编制等）正在被财务机器人所替代。随着互联网及智能技术对商业的深度渗透，业务系统及专业服务开始数智化改造，企业工作组织、岗位职能、工作内涵正在发生根本性改变，这意味着人才培养目标需要做出重大调整，院校的实践教学课程及课程内涵要作出适配和优化，我校培养的大数据与财务管理专业的学生必须适应产业新技术带来的变革。</w:t>
      </w:r>
    </w:p>
    <w:p w14:paraId="42D718D4">
      <w:pPr>
        <w:spacing w:line="460" w:lineRule="exact"/>
        <w:ind w:firstLine="480" w:firstLineChars="200"/>
        <w:rPr>
          <w:rFonts w:ascii="宋体" w:hAnsi="宋体" w:cs="宋体"/>
          <w:b/>
          <w:bCs/>
          <w:color w:val="auto"/>
          <w:sz w:val="28"/>
          <w:szCs w:val="28"/>
          <w:highlight w:val="none"/>
        </w:rPr>
      </w:pPr>
      <w:bookmarkStart w:id="173" w:name="_Hlk181682542"/>
      <w:r>
        <w:rPr>
          <w:rFonts w:hint="eastAsia" w:ascii="宋体" w:hAnsi="宋体" w:cs="宋体"/>
          <w:color w:val="auto"/>
          <w:sz w:val="24"/>
          <w:highlight w:val="none"/>
        </w:rPr>
        <w:t>2022年，我校申报并通过江苏联合职业技术学院五年制高职《大数据与财务管理》专业的办学资格，按照学院指导性人才培养方案，需要匹配一系列的理实一体和专业实训课程</w:t>
      </w:r>
      <w:bookmarkEnd w:id="173"/>
      <w:r>
        <w:rPr>
          <w:rFonts w:hint="eastAsia" w:ascii="宋体" w:hAnsi="宋体" w:cs="宋体"/>
          <w:color w:val="auto"/>
          <w:sz w:val="24"/>
          <w:highlight w:val="none"/>
        </w:rPr>
        <w:t>。</w:t>
      </w:r>
      <w:r>
        <w:rPr>
          <w:rFonts w:hint="eastAsia" w:ascii="宋体" w:hAnsi="宋体" w:cs="宋体"/>
          <w:b/>
          <w:bCs/>
          <w:color w:val="auto"/>
          <w:sz w:val="28"/>
          <w:szCs w:val="28"/>
          <w:highlight w:val="none"/>
        </w:rPr>
        <w:t>二、技术要求：</w:t>
      </w:r>
    </w:p>
    <w:p w14:paraId="650992D7">
      <w:pPr>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（一）采购内容</w:t>
      </w:r>
    </w:p>
    <w:tbl>
      <w:tblPr>
        <w:tblStyle w:val="14"/>
        <w:tblW w:w="99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2263"/>
        <w:gridCol w:w="2902"/>
        <w:gridCol w:w="1166"/>
        <w:gridCol w:w="860"/>
        <w:gridCol w:w="1937"/>
      </w:tblGrid>
      <w:tr w14:paraId="314B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79DD8CA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263" w:type="dxa"/>
            <w:noWrap w:val="0"/>
            <w:vAlign w:val="center"/>
          </w:tcPr>
          <w:p w14:paraId="52C511F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产品名称</w:t>
            </w:r>
          </w:p>
        </w:tc>
        <w:tc>
          <w:tcPr>
            <w:tcW w:w="2902" w:type="dxa"/>
            <w:noWrap w:val="0"/>
            <w:vAlign w:val="center"/>
          </w:tcPr>
          <w:p w14:paraId="0189153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功能及技术参数</w:t>
            </w:r>
          </w:p>
        </w:tc>
        <w:tc>
          <w:tcPr>
            <w:tcW w:w="1166" w:type="dxa"/>
            <w:noWrap w:val="0"/>
            <w:vAlign w:val="center"/>
          </w:tcPr>
          <w:p w14:paraId="7BCBE0A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w:t>
            </w:r>
          </w:p>
        </w:tc>
        <w:tc>
          <w:tcPr>
            <w:tcW w:w="860" w:type="dxa"/>
            <w:noWrap w:val="0"/>
            <w:vAlign w:val="center"/>
          </w:tcPr>
          <w:p w14:paraId="24527AD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p>
        </w:tc>
        <w:tc>
          <w:tcPr>
            <w:tcW w:w="1937" w:type="dxa"/>
            <w:noWrap w:val="0"/>
            <w:vAlign w:val="center"/>
          </w:tcPr>
          <w:p w14:paraId="5C067F0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免费质保期</w:t>
            </w:r>
          </w:p>
        </w:tc>
      </w:tr>
      <w:tr w14:paraId="18A6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4BE6425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rPr>
              <w:t>1</w:t>
            </w:r>
          </w:p>
        </w:tc>
        <w:tc>
          <w:tcPr>
            <w:tcW w:w="2263" w:type="dxa"/>
            <w:noWrap w:val="0"/>
            <w:vAlign w:val="center"/>
          </w:tcPr>
          <w:p w14:paraId="7E5C132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财务大数据实践教学平台</w:t>
            </w:r>
          </w:p>
        </w:tc>
        <w:tc>
          <w:tcPr>
            <w:tcW w:w="2902" w:type="dxa"/>
            <w:noWrap w:val="0"/>
            <w:vAlign w:val="center"/>
          </w:tcPr>
          <w:p w14:paraId="29CF822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61CD0D3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860" w:type="dxa"/>
            <w:noWrap w:val="0"/>
            <w:vAlign w:val="center"/>
          </w:tcPr>
          <w:p w14:paraId="7E1C36A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937" w:type="dxa"/>
            <w:noWrap w:val="0"/>
            <w:vAlign w:val="center"/>
          </w:tcPr>
          <w:p w14:paraId="03AE828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3695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63860E5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2</w:t>
            </w:r>
          </w:p>
        </w:tc>
        <w:tc>
          <w:tcPr>
            <w:tcW w:w="2263" w:type="dxa"/>
            <w:noWrap w:val="0"/>
            <w:vAlign w:val="center"/>
          </w:tcPr>
          <w:p w14:paraId="6AE996E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Excel在财务的应用教学平台</w:t>
            </w:r>
          </w:p>
        </w:tc>
        <w:tc>
          <w:tcPr>
            <w:tcW w:w="2902" w:type="dxa"/>
            <w:noWrap w:val="0"/>
            <w:vAlign w:val="center"/>
          </w:tcPr>
          <w:p w14:paraId="3EC8E46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6E69597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860" w:type="dxa"/>
            <w:noWrap w:val="0"/>
            <w:vAlign w:val="center"/>
          </w:tcPr>
          <w:p w14:paraId="71A03BF6">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937" w:type="dxa"/>
            <w:noWrap w:val="0"/>
            <w:vAlign w:val="center"/>
          </w:tcPr>
          <w:p w14:paraId="3BC35A2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1185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1DD9F54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3</w:t>
            </w:r>
          </w:p>
        </w:tc>
        <w:tc>
          <w:tcPr>
            <w:tcW w:w="2263" w:type="dxa"/>
            <w:noWrap w:val="0"/>
            <w:vAlign w:val="center"/>
          </w:tcPr>
          <w:p w14:paraId="26C7707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系统管理软件</w:t>
            </w:r>
          </w:p>
        </w:tc>
        <w:tc>
          <w:tcPr>
            <w:tcW w:w="2902" w:type="dxa"/>
            <w:noWrap w:val="0"/>
            <w:vAlign w:val="center"/>
          </w:tcPr>
          <w:p w14:paraId="5DAB9EC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39AB12C5">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套</w:t>
            </w:r>
          </w:p>
        </w:tc>
        <w:tc>
          <w:tcPr>
            <w:tcW w:w="860" w:type="dxa"/>
            <w:noWrap w:val="0"/>
            <w:vAlign w:val="center"/>
          </w:tcPr>
          <w:p w14:paraId="539DF83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1</w:t>
            </w:r>
          </w:p>
        </w:tc>
        <w:tc>
          <w:tcPr>
            <w:tcW w:w="1937" w:type="dxa"/>
            <w:noWrap w:val="0"/>
            <w:vAlign w:val="center"/>
          </w:tcPr>
          <w:p w14:paraId="683663D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3DC4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2340E50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4</w:t>
            </w:r>
          </w:p>
        </w:tc>
        <w:tc>
          <w:tcPr>
            <w:tcW w:w="2263" w:type="dxa"/>
            <w:noWrap w:val="0"/>
            <w:vAlign w:val="center"/>
          </w:tcPr>
          <w:p w14:paraId="62BA075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风管机空调</w:t>
            </w:r>
          </w:p>
        </w:tc>
        <w:tc>
          <w:tcPr>
            <w:tcW w:w="2902" w:type="dxa"/>
            <w:noWrap w:val="0"/>
            <w:vAlign w:val="center"/>
          </w:tcPr>
          <w:p w14:paraId="5FF30DA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0C4D061B">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860" w:type="dxa"/>
            <w:noWrap w:val="0"/>
            <w:vAlign w:val="center"/>
          </w:tcPr>
          <w:p w14:paraId="46D0C5E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w:t>
            </w:r>
          </w:p>
        </w:tc>
        <w:tc>
          <w:tcPr>
            <w:tcW w:w="1937" w:type="dxa"/>
            <w:noWrap w:val="0"/>
            <w:vAlign w:val="center"/>
          </w:tcPr>
          <w:p w14:paraId="1742E95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1CB3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45BCD42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5</w:t>
            </w:r>
          </w:p>
        </w:tc>
        <w:tc>
          <w:tcPr>
            <w:tcW w:w="2263" w:type="dxa"/>
            <w:noWrap w:val="0"/>
            <w:vAlign w:val="center"/>
          </w:tcPr>
          <w:p w14:paraId="05C90C0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实物投影仪</w:t>
            </w:r>
          </w:p>
        </w:tc>
        <w:tc>
          <w:tcPr>
            <w:tcW w:w="2902" w:type="dxa"/>
            <w:noWrap w:val="0"/>
            <w:vAlign w:val="center"/>
          </w:tcPr>
          <w:p w14:paraId="79F778A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4C8ADD47">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台</w:t>
            </w:r>
          </w:p>
        </w:tc>
        <w:tc>
          <w:tcPr>
            <w:tcW w:w="860" w:type="dxa"/>
            <w:noWrap w:val="0"/>
            <w:vAlign w:val="center"/>
          </w:tcPr>
          <w:p w14:paraId="4CA50D0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937" w:type="dxa"/>
            <w:noWrap w:val="0"/>
            <w:vAlign w:val="center"/>
          </w:tcPr>
          <w:p w14:paraId="219935F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7D94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6BBF747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6</w:t>
            </w:r>
          </w:p>
        </w:tc>
        <w:tc>
          <w:tcPr>
            <w:tcW w:w="2263" w:type="dxa"/>
            <w:noWrap w:val="0"/>
            <w:vAlign w:val="center"/>
          </w:tcPr>
          <w:p w14:paraId="7F05588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网络设备</w:t>
            </w:r>
          </w:p>
        </w:tc>
        <w:tc>
          <w:tcPr>
            <w:tcW w:w="2902" w:type="dxa"/>
            <w:noWrap w:val="0"/>
            <w:vAlign w:val="center"/>
          </w:tcPr>
          <w:p w14:paraId="542EB1E3">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04FB877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860" w:type="dxa"/>
            <w:noWrap w:val="0"/>
            <w:vAlign w:val="center"/>
          </w:tcPr>
          <w:p w14:paraId="29EED41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937" w:type="dxa"/>
            <w:noWrap w:val="0"/>
            <w:vAlign w:val="center"/>
          </w:tcPr>
          <w:p w14:paraId="5FC85C8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521B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05518AB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7</w:t>
            </w:r>
          </w:p>
        </w:tc>
        <w:tc>
          <w:tcPr>
            <w:tcW w:w="2263" w:type="dxa"/>
            <w:noWrap w:val="0"/>
            <w:vAlign w:val="center"/>
          </w:tcPr>
          <w:p w14:paraId="4D2F627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多媒体讲台</w:t>
            </w:r>
          </w:p>
        </w:tc>
        <w:tc>
          <w:tcPr>
            <w:tcW w:w="2902" w:type="dxa"/>
            <w:noWrap w:val="0"/>
            <w:vAlign w:val="center"/>
          </w:tcPr>
          <w:p w14:paraId="570124F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4CE6869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台</w:t>
            </w:r>
          </w:p>
        </w:tc>
        <w:tc>
          <w:tcPr>
            <w:tcW w:w="860" w:type="dxa"/>
            <w:noWrap w:val="0"/>
            <w:vAlign w:val="center"/>
          </w:tcPr>
          <w:p w14:paraId="1EFE390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937" w:type="dxa"/>
            <w:noWrap w:val="0"/>
            <w:vAlign w:val="center"/>
          </w:tcPr>
          <w:p w14:paraId="0575A17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3A48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313D5E8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8</w:t>
            </w:r>
          </w:p>
        </w:tc>
        <w:tc>
          <w:tcPr>
            <w:tcW w:w="2263" w:type="dxa"/>
            <w:noWrap w:val="0"/>
            <w:vAlign w:val="center"/>
          </w:tcPr>
          <w:p w14:paraId="3A37D2E7">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学生桌椅</w:t>
            </w:r>
          </w:p>
        </w:tc>
        <w:tc>
          <w:tcPr>
            <w:tcW w:w="2902" w:type="dxa"/>
            <w:noWrap w:val="0"/>
            <w:vAlign w:val="center"/>
          </w:tcPr>
          <w:p w14:paraId="53A52B2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495B9582">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组</w:t>
            </w:r>
          </w:p>
        </w:tc>
        <w:tc>
          <w:tcPr>
            <w:tcW w:w="860" w:type="dxa"/>
            <w:noWrap w:val="0"/>
            <w:vAlign w:val="center"/>
          </w:tcPr>
          <w:p w14:paraId="5B4E7F6C">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8</w:t>
            </w:r>
          </w:p>
        </w:tc>
        <w:tc>
          <w:tcPr>
            <w:tcW w:w="1937" w:type="dxa"/>
            <w:noWrap w:val="0"/>
            <w:vAlign w:val="center"/>
          </w:tcPr>
          <w:p w14:paraId="1F32B92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1952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25D32E3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9</w:t>
            </w:r>
          </w:p>
        </w:tc>
        <w:tc>
          <w:tcPr>
            <w:tcW w:w="2263" w:type="dxa"/>
            <w:noWrap w:val="0"/>
            <w:vAlign w:val="center"/>
          </w:tcPr>
          <w:p w14:paraId="3619DEF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会计专用桌椅</w:t>
            </w:r>
          </w:p>
        </w:tc>
        <w:tc>
          <w:tcPr>
            <w:tcW w:w="2902" w:type="dxa"/>
            <w:noWrap w:val="0"/>
            <w:vAlign w:val="center"/>
          </w:tcPr>
          <w:p w14:paraId="43267226">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0668481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套</w:t>
            </w:r>
          </w:p>
        </w:tc>
        <w:tc>
          <w:tcPr>
            <w:tcW w:w="860" w:type="dxa"/>
            <w:noWrap w:val="0"/>
            <w:vAlign w:val="center"/>
          </w:tcPr>
          <w:p w14:paraId="117AC8CB">
            <w:pPr>
              <w:keepNext w:val="0"/>
              <w:keepLines w:val="0"/>
              <w:pageBreakBefore w:val="0"/>
              <w:widowControl w:val="0"/>
              <w:kinsoku/>
              <w:wordWrap/>
              <w:overflowPunct/>
              <w:topLinePunct w:val="0"/>
              <w:autoSpaceDE/>
              <w:autoSpaceDN/>
              <w:bidi w:val="0"/>
              <w:adjustRightInd/>
              <w:snapToGrid/>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40</w:t>
            </w:r>
          </w:p>
        </w:tc>
        <w:tc>
          <w:tcPr>
            <w:tcW w:w="1937" w:type="dxa"/>
            <w:noWrap w:val="0"/>
            <w:vAlign w:val="center"/>
          </w:tcPr>
          <w:p w14:paraId="310C2EA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7B7E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27FD96E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10</w:t>
            </w:r>
          </w:p>
        </w:tc>
        <w:tc>
          <w:tcPr>
            <w:tcW w:w="2263" w:type="dxa"/>
            <w:noWrap w:val="0"/>
            <w:vAlign w:val="center"/>
          </w:tcPr>
          <w:p w14:paraId="6219B90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凭证装订机</w:t>
            </w:r>
          </w:p>
        </w:tc>
        <w:tc>
          <w:tcPr>
            <w:tcW w:w="2902" w:type="dxa"/>
            <w:noWrap w:val="0"/>
            <w:vAlign w:val="center"/>
          </w:tcPr>
          <w:p w14:paraId="3D1DDD6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64488CA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台</w:t>
            </w:r>
          </w:p>
        </w:tc>
        <w:tc>
          <w:tcPr>
            <w:tcW w:w="860" w:type="dxa"/>
            <w:noWrap w:val="0"/>
            <w:vAlign w:val="center"/>
          </w:tcPr>
          <w:p w14:paraId="013FE04C">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5</w:t>
            </w:r>
          </w:p>
        </w:tc>
        <w:tc>
          <w:tcPr>
            <w:tcW w:w="1937" w:type="dxa"/>
            <w:noWrap w:val="0"/>
            <w:vAlign w:val="center"/>
          </w:tcPr>
          <w:p w14:paraId="6925A3C3">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6639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0F2522C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11</w:t>
            </w:r>
          </w:p>
        </w:tc>
        <w:tc>
          <w:tcPr>
            <w:tcW w:w="2263" w:type="dxa"/>
            <w:noWrap w:val="0"/>
            <w:vAlign w:val="center"/>
          </w:tcPr>
          <w:p w14:paraId="0A7A110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智能助教机器人</w:t>
            </w:r>
          </w:p>
        </w:tc>
        <w:tc>
          <w:tcPr>
            <w:tcW w:w="2902" w:type="dxa"/>
            <w:noWrap w:val="0"/>
            <w:vAlign w:val="center"/>
          </w:tcPr>
          <w:p w14:paraId="4818CF08">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3E0310A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台</w:t>
            </w:r>
          </w:p>
        </w:tc>
        <w:tc>
          <w:tcPr>
            <w:tcW w:w="860" w:type="dxa"/>
            <w:noWrap w:val="0"/>
            <w:vAlign w:val="center"/>
          </w:tcPr>
          <w:p w14:paraId="3876A37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1937" w:type="dxa"/>
            <w:noWrap w:val="0"/>
            <w:vAlign w:val="center"/>
          </w:tcPr>
          <w:p w14:paraId="6AF1901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1516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0C03466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12</w:t>
            </w:r>
          </w:p>
        </w:tc>
        <w:tc>
          <w:tcPr>
            <w:tcW w:w="2263" w:type="dxa"/>
            <w:noWrap w:val="0"/>
            <w:vAlign w:val="center"/>
          </w:tcPr>
          <w:p w14:paraId="7D30B716">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智慧黑板</w:t>
            </w:r>
          </w:p>
        </w:tc>
        <w:tc>
          <w:tcPr>
            <w:tcW w:w="2902" w:type="dxa"/>
            <w:noWrap w:val="0"/>
            <w:vAlign w:val="center"/>
          </w:tcPr>
          <w:p w14:paraId="1F2AD913">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08B2E189">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台</w:t>
            </w:r>
          </w:p>
        </w:tc>
        <w:tc>
          <w:tcPr>
            <w:tcW w:w="860" w:type="dxa"/>
            <w:noWrap w:val="0"/>
            <w:vAlign w:val="center"/>
          </w:tcPr>
          <w:p w14:paraId="15DB8FA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2</w:t>
            </w:r>
          </w:p>
        </w:tc>
        <w:tc>
          <w:tcPr>
            <w:tcW w:w="1937" w:type="dxa"/>
            <w:noWrap w:val="0"/>
            <w:vAlign w:val="center"/>
          </w:tcPr>
          <w:p w14:paraId="2DE9E95B">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28B1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1DADB4D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13</w:t>
            </w:r>
          </w:p>
        </w:tc>
        <w:tc>
          <w:tcPr>
            <w:tcW w:w="2263" w:type="dxa"/>
            <w:noWrap w:val="0"/>
            <w:vAlign w:val="center"/>
          </w:tcPr>
          <w:p w14:paraId="0DDD03D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布线、辅材</w:t>
            </w:r>
          </w:p>
        </w:tc>
        <w:tc>
          <w:tcPr>
            <w:tcW w:w="2902" w:type="dxa"/>
            <w:noWrap w:val="0"/>
            <w:vAlign w:val="center"/>
          </w:tcPr>
          <w:p w14:paraId="61FD4A01">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30E7D9F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批</w:t>
            </w:r>
          </w:p>
        </w:tc>
        <w:tc>
          <w:tcPr>
            <w:tcW w:w="860" w:type="dxa"/>
            <w:noWrap w:val="0"/>
            <w:vAlign w:val="center"/>
          </w:tcPr>
          <w:p w14:paraId="5C69D1FD">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1937" w:type="dxa"/>
            <w:noWrap w:val="0"/>
            <w:vAlign w:val="center"/>
          </w:tcPr>
          <w:p w14:paraId="07314B3A">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r w14:paraId="69FA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dxa"/>
            <w:noWrap w:val="0"/>
            <w:vAlign w:val="center"/>
          </w:tcPr>
          <w:p w14:paraId="32C2744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14</w:t>
            </w:r>
          </w:p>
        </w:tc>
        <w:tc>
          <w:tcPr>
            <w:tcW w:w="2263" w:type="dxa"/>
            <w:noWrap w:val="0"/>
            <w:vAlign w:val="center"/>
          </w:tcPr>
          <w:p w14:paraId="6EC17AD4">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环境布置</w:t>
            </w:r>
          </w:p>
        </w:tc>
        <w:tc>
          <w:tcPr>
            <w:tcW w:w="2902" w:type="dxa"/>
            <w:noWrap w:val="0"/>
            <w:vAlign w:val="center"/>
          </w:tcPr>
          <w:p w14:paraId="63705AB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详见技术及功能要求</w:t>
            </w:r>
          </w:p>
        </w:tc>
        <w:tc>
          <w:tcPr>
            <w:tcW w:w="1166" w:type="dxa"/>
            <w:noWrap w:val="0"/>
            <w:vAlign w:val="center"/>
          </w:tcPr>
          <w:p w14:paraId="64084F4B">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批</w:t>
            </w:r>
          </w:p>
        </w:tc>
        <w:tc>
          <w:tcPr>
            <w:tcW w:w="860" w:type="dxa"/>
            <w:noWrap w:val="0"/>
            <w:vAlign w:val="center"/>
          </w:tcPr>
          <w:p w14:paraId="7685A0C5">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1937" w:type="dxa"/>
            <w:noWrap w:val="0"/>
            <w:vAlign w:val="center"/>
          </w:tcPr>
          <w:p w14:paraId="6A521D4F">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硬件部分三年，软件部分一年</w:t>
            </w:r>
          </w:p>
        </w:tc>
      </w:tr>
    </w:tbl>
    <w:p w14:paraId="66F883C1">
      <w:pPr>
        <w:spacing w:line="50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（二）功能及技术参数要求</w:t>
      </w:r>
    </w:p>
    <w:tbl>
      <w:tblPr>
        <w:tblStyle w:val="14"/>
        <w:tblW w:w="994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864"/>
        <w:gridCol w:w="6657"/>
        <w:gridCol w:w="919"/>
        <w:gridCol w:w="879"/>
      </w:tblGrid>
      <w:tr w14:paraId="390F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630" w:type="dxa"/>
            <w:shd w:val="clear" w:color="auto" w:fill="FFFFFF"/>
            <w:noWrap w:val="0"/>
            <w:vAlign w:val="center"/>
          </w:tcPr>
          <w:p w14:paraId="62606ED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序号</w:t>
            </w:r>
          </w:p>
        </w:tc>
        <w:tc>
          <w:tcPr>
            <w:tcW w:w="864" w:type="dxa"/>
            <w:shd w:val="clear" w:color="auto" w:fill="FFFFFF"/>
            <w:noWrap w:val="0"/>
            <w:vAlign w:val="center"/>
          </w:tcPr>
          <w:p w14:paraId="0B186A1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设备名称</w:t>
            </w:r>
          </w:p>
        </w:tc>
        <w:tc>
          <w:tcPr>
            <w:tcW w:w="6657" w:type="dxa"/>
            <w:shd w:val="clear" w:color="auto" w:fill="FFFFFF"/>
            <w:noWrap w:val="0"/>
            <w:vAlign w:val="center"/>
          </w:tcPr>
          <w:p w14:paraId="1D35EF3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lang w:val="en-US" w:eastAsia="zh-CN"/>
              </w:rPr>
              <w:t>技术</w:t>
            </w:r>
            <w:r>
              <w:rPr>
                <w:rFonts w:hint="eastAsia" w:ascii="仿宋" w:hAnsi="仿宋" w:eastAsia="仿宋" w:cs="仿宋"/>
                <w:bCs/>
                <w:color w:val="auto"/>
                <w:kern w:val="0"/>
                <w:sz w:val="18"/>
                <w:szCs w:val="18"/>
                <w:highlight w:val="none"/>
              </w:rPr>
              <w:t>参数</w:t>
            </w:r>
          </w:p>
        </w:tc>
        <w:tc>
          <w:tcPr>
            <w:tcW w:w="919" w:type="dxa"/>
            <w:shd w:val="clear" w:color="auto" w:fill="FFFFFF"/>
            <w:noWrap w:val="0"/>
            <w:vAlign w:val="center"/>
          </w:tcPr>
          <w:p w14:paraId="2D076AD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单位</w:t>
            </w:r>
          </w:p>
        </w:tc>
        <w:tc>
          <w:tcPr>
            <w:tcW w:w="879" w:type="dxa"/>
            <w:shd w:val="clear" w:color="auto" w:fill="FFFFFF"/>
            <w:noWrap w:val="0"/>
            <w:vAlign w:val="center"/>
          </w:tcPr>
          <w:p w14:paraId="56732BA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数量</w:t>
            </w:r>
          </w:p>
        </w:tc>
      </w:tr>
      <w:tr w14:paraId="1E85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noWrap w:val="0"/>
            <w:vAlign w:val="center"/>
          </w:tcPr>
          <w:p w14:paraId="0BC45599">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w:t>
            </w:r>
          </w:p>
        </w:tc>
        <w:tc>
          <w:tcPr>
            <w:tcW w:w="864" w:type="dxa"/>
            <w:noWrap w:val="0"/>
            <w:vAlign w:val="center"/>
          </w:tcPr>
          <w:p w14:paraId="66B42B3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财务大数据实践教学平台</w:t>
            </w:r>
          </w:p>
        </w:tc>
        <w:tc>
          <w:tcPr>
            <w:tcW w:w="6657" w:type="dxa"/>
            <w:noWrap w:val="0"/>
            <w:vAlign w:val="center"/>
          </w:tcPr>
          <w:p w14:paraId="2C8B7F9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一</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平台总体技术指标</w:t>
            </w:r>
          </w:p>
          <w:p w14:paraId="04A3101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（1）架构设计：平台总体基于领域驱动设计（DDD）理念进行分布式架构设计实现，基于前后端分离和分布式微服务的弹性计算架构实现；后端基于Java Spring Cloud微服务开发框架，前端NodeJS＋React服务化开发；具备业务高内聚低耦合、满足高性能、高并发、高可用、跨平台、跨语言等特点。</w:t>
            </w:r>
          </w:p>
          <w:p w14:paraId="54481E4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（2）开放支持：开放API（OpenAPI）支持接入集成，支持ISV(独立平台开发商)接入，标准化、规范化的接入方式，并提供接入指南，使接入更高效。</w:t>
            </w:r>
          </w:p>
          <w:p w14:paraId="0F28FB3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（3）开发运维：基于全流程DevOps自动化运维，支持持续集成、分析、服务注册与发现、持续部署的研发管理方式敏捷研发。</w:t>
            </w:r>
          </w:p>
          <w:p w14:paraId="0648BAD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（4）数据源支持：基础服务层支持多数据源，适配阿里云RDS和本地MYSQL，同时使用于Redis高速缓存对数据进行缓存，支持高并发，支持纯本地化数据源。</w:t>
            </w:r>
          </w:p>
          <w:p w14:paraId="51AE2C5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（5）基础服务支撑：基础服务层支持消息队列服务、S3标准协议存储服务、用户/鉴权服务、RPC服务、Web Socket服务等，保证平台的通用性。</w:t>
            </w:r>
          </w:p>
          <w:p w14:paraId="5F8C693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二</w:t>
            </w:r>
            <w:r>
              <w:rPr>
                <w:rFonts w:hint="eastAsia" w:ascii="仿宋" w:hAnsi="仿宋" w:eastAsia="仿宋" w:cs="仿宋"/>
                <w:color w:val="auto"/>
                <w:sz w:val="18"/>
                <w:szCs w:val="18"/>
                <w:highlight w:val="none"/>
              </w:rPr>
              <w:t>.大数据技术应用基础功能指标</w:t>
            </w:r>
          </w:p>
          <w:p w14:paraId="07FB1D3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平台融合大数据领域多种技术，结合财务场景，使用程序对财务、商业数据进行处理，为后续分析、预测、决策提供基础技能支持和思维提升。平台包含但不限于数据库、Python基础语法、数据获取、数据分析、数据可视化五大领域技术。包含但不限于项目化的知识目标、技能目标、素养目标，项目思维导图，理论项目设置与授课内容不完全相同的实战任务和随堂测验，实战项目针对不同项目情景设置多个实战任务，在思维和代码两个层面讲述解决实际问题的过程，设置开放式总结报告撰写，教学体系完成，教学闭环。大数据技术应用基础实践教学平台包括代码编辑器系统、SQL编辑器系统、数据清洗系统、人才仿真网站、院校管理系统、教学管理系统、学生学习系统。</w:t>
            </w:r>
          </w:p>
          <w:p w14:paraId="3D6AA8A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平台使用自主研发的代码编辑器进行Python代码相关操作，避免未经授权使用国外代码编辑器所引发的版权纠纷；使用自主研发的SQL编辑器进行SQL代码相关操作，避免未经授权使用国外代码编辑器所引发的版权纠纷；使用数据清洗系统，教授学生数据清洗的思路，低代码操作，乐教易学平台可以满足学生对大数据的需求，大数据技术的需求，满足学生利用大数据思维、大数据技术、分析与探究。</w:t>
            </w:r>
          </w:p>
          <w:p w14:paraId="2BE54F6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4" w:name="_Hlk181570477"/>
            <w:r>
              <w:rPr>
                <w:rFonts w:hint="eastAsia" w:ascii="仿宋" w:hAnsi="仿宋" w:eastAsia="仿宋" w:cs="仿宋"/>
                <w:color w:val="auto"/>
                <w:sz w:val="18"/>
                <w:szCs w:val="18"/>
                <w:highlight w:val="none"/>
              </w:rPr>
              <w:t>（一）代码编辑器系统功能指标</w:t>
            </w:r>
          </w:p>
          <w:bookmarkEnd w:id="174"/>
          <w:p w14:paraId="47155E1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自主研发，属于国产产品，内置180个以上常用库，上课时可直接调用，免去繁琐安装环节；内置常用库包括：pandas，matplotlib，pandas-datareader，scipy，PyMySQL，snownlp，gensim，pytest，mlxtend，pyfolio，Scrapy，pyLDAvis，boto3，pyecharts，tushare，statsmodels，openpyxl，importlib-metadata，pdfminer3k，factor-analyzer，geatpy，xlrd，opencv-python，retry，pydotplus，pytesseract，wordcloud，folium，jieba，branca，glob2，boto，chardet，ipython-genutils，XlsxWriter，importlib，xlwt，imageio，backtrader，graphviz，ExifRead，pycryptodome，fuzzywuzzy，fpdf，typing_extensions，scikit-fuzzy，SQLAlchemy，PyYAML，tensorflow-cpu，six，python-dateutil，pytz，numpy，fonttools，kiwisolver，packaging，cycler，pyparsing，Pillow，certifi，charset-normalizer，lxml，requests，urllib3，idna，smart-open，iniconfig，pluggy，py，tomli，attrs，threadpoolctl，joblib，scikit-learn，traitlets，decorator，matplotlib-inline，ptyprocess，parso，pickleshare，wcwidth，ipython，executing，pexpect，empyrical，jedi，pure-eval，seaborn，backcall，asttokens，Pygments，stack-data，prompt-toolkit，Automat，queuelib，itemloaders，cffi，pycparser，pyasn1，constantly，w3lib，pyasn1-modules，filelock，pyOpenSSL，PyDispatcher，tldextract，service-identity，hyperlink，zope.interface，cryptography，Protego，incremental，jmespath，parsel，requests-file，cssselect，typing_extensions，itemadapter，Twisted，funcy，future，sklearn，MarkupSafe，Jinja2，numexpr，s3transfer，botocore，prettytable，simplejson，beautifulsoup4，bs4，soupsieve，websocket-client，patsy，y，et-xmlfile，zipp，ply，networkx，greenlet，google-pasta，rsa，protobuf，absl-py，tensorflow-estimator，opt-einsum，gast，requests-oauthlib，Keras-Preprocessing，tensorboard-plugin-wit，oauthlib，astunparse，Markdown，Werkzeug，google-auth-oauthlib，h5py，tensorboard-data-server，wrapt，typing-extensions，keras-nightly，termcolor，flatbuffers，tensorboard，cachetools，grpcio，google-auth，libclang，keras，tensorflow-io-gcs-filesystem，llvmlite，numba，tenacity，tangled-up-in-unicode，tqdm，pydantic，missingno，PyWavelets，multimethod，visions，htmlmin，ImageHash，phik等。</w:t>
            </w:r>
          </w:p>
          <w:p w14:paraId="1BF5DDC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5" w:name="_Hlk181570429"/>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支持“代码模式”，可自定义编写Python代码并运行，包括但不限于数据清洗、数据集成、数据可视化、数据转换、数值模拟、统计建模、机器学习等功能；代码模式分为不少于4块区域，引导说明区、目录文件操作区、文件操作区、运行结果展示区；支持文件下载功能；文件操作区包含运行脚本、终止运行脚本、重置并恢复预置脚本、清空当前脚本、保存脚本、提交脚本功能。</w:t>
            </w:r>
          </w:p>
          <w:bookmarkEnd w:id="175"/>
          <w:p w14:paraId="7F6E23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支持“积木模式”，积木模式包含显示字符串内容、数字变量、字符变量、列表类型变量、元祖类型变量、字典类型变量、集合类型变量、数学运算、数字格式、数字类型转换、字符串与字符串拼接、变量与变量拼接、输出列表变量、输出元祖变量、输出字典变量、数据变量、代码注释积木等应用；</w:t>
            </w:r>
          </w:p>
          <w:p w14:paraId="459AE62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支持白天模式和黑夜模式；支持新建Python脚本与新建文件夹及其子文件夹；支持上传文件，格式满足于：csv,xlsx,xls,png,jpg,gif,txt,pdf,doc,docx,ppt,mp4,ttf,html,json,py支持代码脚本导入及导出与直接复制文件路径；支持终端运行结果输出图片、excel同时终端可直接输出超链接并在线预览。包含支持新建HTML文件。</w:t>
            </w:r>
          </w:p>
          <w:p w14:paraId="35CE4A8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内置支持预览CSV文件、图片（PNG、JPG、GIF等）与在线预览HTML文件。编辑区可根据对应文件类型自动代码提示、代码高亮。可对全部文件搜索。支持任务描述、Markdown操作步骤、操作视频、参考答案的功能展示，并可以自由切换及关闭；支持多页签显示脚本；持响应式交互，运行input函数等；支持运行SQL数据库；支持左右屏展示操作步骤及代码编辑区域，并可拖拽调节左右区域位置大小。</w:t>
            </w:r>
          </w:p>
          <w:p w14:paraId="5A6E9FF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6" w:name="_Hlk181570458"/>
            <w:r>
              <w:rPr>
                <w:rFonts w:hint="eastAsia" w:ascii="仿宋" w:hAnsi="仿宋" w:eastAsia="仿宋" w:cs="仿宋"/>
                <w:color w:val="auto"/>
                <w:sz w:val="18"/>
                <w:szCs w:val="18"/>
                <w:highlight w:val="none"/>
              </w:rPr>
              <w:t>（二）数据清洗系统功能指标</w:t>
            </w:r>
            <w:bookmarkEnd w:id="176"/>
          </w:p>
          <w:p w14:paraId="42EF5D6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采用数据流式处理设计。默认流程为选择数据源-配置全局清洗规则-配置按字段清洗规则-开始清洗，采用流式非闭环模式，执行清洗时将严格按照此流程顺序执行。数据源选择。支持通过教学管理平台预置数据，支持学生自行上传数据表格。数据源预览。支持在当前页面查看数据源数据预览，预览数据条数用户可自行调整。</w:t>
            </w:r>
          </w:p>
          <w:p w14:paraId="5CD3751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7" w:name="_Hlk181570442"/>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全局清洗规则。支持不少于2种字符清理以及不少于4种字符替换全局规则，具体包括：非法字符清洗、空格清理、-（仅有）替换为Null、-（仅有）替换为0、空格（仅有）替换为Null、空格（仅有）替换为0，这些清洗规则将应用于全部表记录中。按字段清洗规则配置。支持最多添加15条清洗规则，规则可以拖动排序（执行顺序将不同），也可以删除不需要的规则。</w:t>
            </w:r>
          </w:p>
          <w:bookmarkEnd w:id="177"/>
          <w:p w14:paraId="4211887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规则-字符替换。支持添加多个目标数据列（字段），将原内容进行批量替换成目标内容。规则-字段切分。用户可以一次性对不少于5个字段进行按分隔符进行切分的规则设定，每个被切分的字段可以按照内容中含有的第一个分隔符切分成前后两列数据；用户可自定义按照字段值里的某些字符进行切分，每个字段都可以重命名切分后的两个字段名称。规则-字段合并。用户可自定义不少于5个字段合并为一个字段，并可设定合并后的内容连接符。规则-缺失值填补。支持均值填补法、中位数填补法和0值填补法，也可以选择遗弃含有缺失值的数据行。（需提供相应证书或功能截图进行佐证）</w:t>
            </w:r>
          </w:p>
          <w:p w14:paraId="3F6EC89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清洗结果预览。支持在当前页面查看清洗结果数据预览，预览数据条数用户可自行调整。清洗结果数据下载。支持用户自行下载清洗完成的数据到本地客户机。操作指引。支持通过教学管理平台预置数据清洗任务的任务描述、操作步骤以及操作演示视频。任务重置。支持通过重置清空流程内的所有配置信息。任务集成。支持通过教学管理平台集成具体的清洗任务、清洗数据源、任务操作说明等信息。（需提供相应证书或功能截图进行佐证）</w:t>
            </w:r>
          </w:p>
          <w:p w14:paraId="75B7A40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8" w:name="_Hlk181570517"/>
            <w:r>
              <w:rPr>
                <w:rFonts w:hint="eastAsia" w:ascii="仿宋" w:hAnsi="仿宋" w:eastAsia="仿宋" w:cs="仿宋"/>
                <w:color w:val="auto"/>
                <w:sz w:val="18"/>
                <w:szCs w:val="18"/>
                <w:highlight w:val="none"/>
              </w:rPr>
              <w:t>（三）SQL编辑器系统功能指标</w:t>
            </w:r>
          </w:p>
          <w:p w14:paraId="6FCD508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上课时可直接调用，免去繁琐安装环节；</w:t>
            </w:r>
          </w:p>
          <w:bookmarkEnd w:id="178"/>
          <w:p w14:paraId="3FD1934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语法突出显示：SQL编辑器能够根据SQL语法规则对查询语句进行高亮显示，以帮助用户更清晰地看到代码的结构和语法错误。</w:t>
            </w:r>
          </w:p>
          <w:p w14:paraId="0BF33B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代码提示：当用户输入SQL关键字、表名或列名时，编辑器会提供提示。这样可以减少输入错误和加快查询编写的速度。</w:t>
            </w:r>
          </w:p>
          <w:p w14:paraId="1CD4DDD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查询执行：允许用户直接在编辑器中执行SQL查询，并显示结果集。这样，用户可以在编辑器中编写和测试查询。支持SQL查询脚本的保存，提交、运行、清空、下载功能。支持在结果展示区显示执行SQL的结果。</w:t>
            </w:r>
          </w:p>
          <w:p w14:paraId="5CD086F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语法检查：SQL编辑器可以检查查询语句的语法错误，并在发现错误时提供错误提示。</w:t>
            </w:r>
          </w:p>
          <w:p w14:paraId="5331CD4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rPr>
              <w:t>多标签支持：SQL编辑器通常支持多个标签页，使用户可以同时编辑和执行多个查询。</w:t>
            </w:r>
          </w:p>
          <w:p w14:paraId="0C543C4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rPr>
              <w:t>导入和导出数据：编辑器可以支持将数据从文件或其他数据源导入到数据库，以及将数据库中的数据导出为sql文件或xlsx格式表格文件。</w:t>
            </w:r>
          </w:p>
          <w:p w14:paraId="31501F4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数据库对象管理：编辑器可以提供对数据库对象（如表、视图）的管理功能，包括创建、修改和删除以及查看对象结构。</w:t>
            </w:r>
          </w:p>
          <w:p w14:paraId="712898B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rPr>
              <w:t>数据库分用户进行数据隔离：每个用户预置一个数据库。</w:t>
            </w:r>
          </w:p>
          <w:p w14:paraId="6F33811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rPr>
              <w:t>在教学系统可进行单点登录。可预置数据进行任务自动甄别。</w:t>
            </w:r>
          </w:p>
          <w:p w14:paraId="1D503D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11、</w:t>
            </w:r>
            <w:r>
              <w:rPr>
                <w:rFonts w:hint="eastAsia" w:ascii="仿宋" w:hAnsi="仿宋" w:eastAsia="仿宋" w:cs="仿宋"/>
                <w:color w:val="auto"/>
                <w:sz w:val="18"/>
                <w:szCs w:val="18"/>
                <w:highlight w:val="none"/>
              </w:rPr>
              <w:t>SQL语句实现加密处理，系统安全防SQL注入。</w:t>
            </w:r>
          </w:p>
          <w:p w14:paraId="66D7970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79" w:name="_Hlk181570530"/>
            <w:r>
              <w:rPr>
                <w:rFonts w:hint="eastAsia" w:ascii="仿宋" w:hAnsi="仿宋" w:eastAsia="仿宋" w:cs="仿宋"/>
                <w:color w:val="auto"/>
                <w:sz w:val="18"/>
                <w:szCs w:val="18"/>
                <w:highlight w:val="none"/>
              </w:rPr>
              <w:t>（四）人才仿真网站</w:t>
            </w:r>
          </w:p>
          <w:p w14:paraId="0BC2F0F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 xml:space="preserve"> </w:t>
            </w:r>
            <w:r>
              <w:rPr>
                <w:rFonts w:hint="eastAsia" w:ascii="仿宋" w:hAnsi="仿宋" w:eastAsia="仿宋" w:cs="仿宋"/>
                <w:color w:val="auto"/>
                <w:sz w:val="18"/>
                <w:szCs w:val="18"/>
                <w:highlight w:val="none"/>
              </w:rPr>
              <w:t>模拟主流人才招聘与求职网站的主要功能页面，共不少于5000页100000条招聘信息数据。个人服务支持按照地点、职位，月薪范围，工作年限，学历要求等方式查询公司招聘信息，每条招聘信息可查看详情，包括公司名称、工作经验要求、学历要求、招聘人数、发布时间、岗位职责和任职要求等信息。企业服务支持按照地点、职位，月薪范围，工作年限，学历要求，年龄、性别等方式查询求职者信息及详情，每位求职者可查看简历详情，包括姓名、性别、年龄、学历、现居住地、求职意向、专业技能、工作经历、项目经理、教育经历等信息。支持学生按照网站数据运行Python代码完成数据爬取，有效解决真实网站教学带来的数据隐私、数据安全等问题。</w:t>
            </w:r>
          </w:p>
          <w:bookmarkEnd w:id="179"/>
          <w:p w14:paraId="3FAA788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80" w:name="_Hlk181570549"/>
            <w:r>
              <w:rPr>
                <w:rFonts w:hint="eastAsia" w:ascii="仿宋" w:hAnsi="仿宋" w:eastAsia="仿宋" w:cs="仿宋"/>
                <w:color w:val="auto"/>
                <w:sz w:val="18"/>
                <w:szCs w:val="18"/>
                <w:highlight w:val="none"/>
              </w:rPr>
              <w:t>（五）课程模块功能指标</w:t>
            </w:r>
          </w:p>
          <w:bookmarkEnd w:id="180"/>
          <w:p w14:paraId="4BEF86E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涵盖不少于7个章，17个项目，242个任务，至少支持48学时。互动课件不少于110个，25个授课文档（含PPT\PDF），200个测验及作业（包含130道客观题），13个授课视频，内置不少于数据或脚本文件24个。</w:t>
            </w:r>
          </w:p>
          <w:p w14:paraId="3919ABE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大数据概述：通过介绍大数据概念、大数据起源、大数据特征、大数据分类、大数据常见技术应用、大数据核心价值、大数据经典算法、大数据发展历程、大数据发展趋势、大数据应用实例等内容，使学生对大数据有由浅入深的了解。</w:t>
            </w:r>
          </w:p>
          <w:p w14:paraId="4518BB5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数据库基础：包含什么是数据，数据的定义，数据的类型，数据库的定义，数据库的特点，数据库管理系统定义，常见数据库管理系统，数据、数据库、数据库管理系统关系，SQL概念，SQL命令三大主要语言。数据管理技术的产生与发展，多角度数据库系统分类，数据库优缺点，数据库与数据库管理系统的应用和安全性，数据库应用发展与挑战。</w:t>
            </w:r>
          </w:p>
          <w:p w14:paraId="35AC07E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SQL常用操作：通过介绍MySQL数据库安装，以及SQL编辑器。介绍使用SQL语句创建数据库，关闭数据库，删除数据库。让学生真切感受数据库。介绍使用SQL语句对表的常用操作，创建表，修改表，录入数据，删除表，设置数据表的约束。介绍什么是查询，简单的查询语句，条件查询，模糊查询。在多表查询中介绍内连接、外连接。其他数据操作中介绍插入数据，删除数据，修改数据。通过该项目能够让学生了解数据库，了解SQL语法与应用。</w:t>
            </w:r>
          </w:p>
          <w:p w14:paraId="1551435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Python语言简介：通过介绍Python的诞生与发展、Python编程语言特点、Python应用方向、学好Python的建议，使学生快速了解Python语言；运行第一个Python程序使学生了解print函数，获得成功运行代码的成就感。同时也提供Python软件配置环境介绍，包括anaconda安装以及Jupyter的启动和运行，VsCode下载安装使用说明，Python下载安装说明，使学生能够为计算机配置基本的Python编程环境。</w:t>
            </w:r>
          </w:p>
          <w:p w14:paraId="45A4114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rPr>
              <w:t>Python常用数据类型：通过介绍变量的定义、命名、赋值，以工资变量的赋值和打印，介绍程序中如何定义和打印数据。计算机为了高效处理数据，引入了多种数据类型，其中Python语言也有属于自己的数据类型，本项目介绍常用的不少于6种数据类型，数值、字符串、列表、字典、元组、集合。介绍type函数查询数据类型，整数和浮点数的相互转换，round函数保留小数位。字符串类型中介绍定义，引号的使用，转义字符，使用索引截取字符串，字符串重复输出，介绍upper，ower，title，capitalize函数，实现英文字母字符串大小写转换。join，strip，replace，find，index函数实现字符串的内容的增加、删除、修改、查找等。列表类型中，介绍定义与创建方法，切片法获取列表中的信息，通过append，insert，extend方法给列表中添加元素，通过remove，pop，clear函数和del关键字删除列表元素，以及列表元素修改和查询的方法。在字典类型中，介绍字典的定义和创建，增删改查元素的方法，还介绍len，reverse，sort等方法支持对字典的操作。元组类型定义创建，访问和查询元素。集合类型的定义创建，增加、删除、查询元素。</w:t>
            </w:r>
          </w:p>
          <w:p w14:paraId="48AF12C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rPr>
              <w:t>Python运算与流程：介绍数据的运算方法和常用语句。其中数据的统计包括对数值进行求和、求最大值、求最小值、元素统计、排序、日期计算。介绍Python的运算符包含算术运算符、比较运算符、逻辑运算符、成员运算符。数据流程条件语句包含if单分支结构、if...else...、if...elif...else、if嵌套不少于4种结构。循环语句包含while循环、for...in循环两种结构，控制循环中介绍break和continue。通过该项目能够让学生了解Python的运算与流程语法知识与应用。</w:t>
            </w:r>
          </w:p>
          <w:p w14:paraId="3013447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Python程序功能的复用：介绍什么是函数及三种调用函数的方法：调用内置函数、调用自定义函数、调用第三方库中的函数。在内置函数中介绍：max()、min()、sum()、bool()、len()、slice()、sorted()等函数，在自定义函数中封装了对成绩等级判断的函数，调用datetime第三方库对年龄进行计算，通过该项目能够让学生能够了解Python中的函数调用。</w:t>
            </w:r>
          </w:p>
          <w:p w14:paraId="025898B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rPr>
              <w:t>大数据获取基础：介绍我国近期颁布的与数据相关的法律法规，非法获取数据的案件，网络爬虫是否合法的问题，明确数据获取的法律红线。企业视角的内部与外部数据含义和示例。介绍获取数据的常见方法，包括系统导出、API获取数据、网络爬虫获取数据、Python第三方库获取数据、数据库获取数据、低代码数据采集工具获取数据，RPA机器人获取数据。介绍通用的数据获取流程。对数据获取方法和途径有全面的认知。</w:t>
            </w:r>
          </w:p>
          <w:p w14:paraId="558D65A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bookmarkStart w:id="181" w:name="_Hlk181570561"/>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rPr>
              <w:t>API数据获取：使用API获取数据对数据质量有比较高的要求。需要先明确对数据的要求，通过确定业务的目标，数据类型和颗粒度，数据质量的要求来确定数据要求。之后可按此要求搜索公开的数据API接口。如Python第三方库公开的股票、期货等数据的API，服务商提供的数据API，政府建立的数据API都提供了众多可用的数据API。后通过7个方面介绍如何查看API文档，进而使用API。本项目设立不少于6个API，包括人民币汇率历史数据API、上海黄金交易所历史金价API、沪股通历史数据API、社会融资规模历史数据API、股票账户统计详细数据API、每日一句醒世名言API，通过上述API，能够锻炼通过编写Python程序调用API，进而获取对应数据的能力。后介绍商用API商城的概念，介绍APILink，其中API集市提供了免费试用的额度，体验真实商业环境下的API的分类、介绍与使用方法。</w:t>
            </w:r>
          </w:p>
          <w:bookmarkEnd w:id="181"/>
          <w:p w14:paraId="5958360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11、</w:t>
            </w:r>
            <w:r>
              <w:rPr>
                <w:rFonts w:hint="eastAsia" w:ascii="仿宋" w:hAnsi="仿宋" w:eastAsia="仿宋" w:cs="仿宋"/>
                <w:color w:val="auto"/>
                <w:sz w:val="18"/>
                <w:szCs w:val="18"/>
                <w:highlight w:val="none"/>
              </w:rPr>
              <w:t>网络爬虫获取数据：通过介绍为什么使用Python程序编写网络爬虫，将Python与网络爬虫联系起来。介绍网络爬虫基本逻辑包括构造网络请求，获取响应数据，解析响应数据，保存解析结果不少于4个步骤。通过介绍常用网络爬虫工具，实现上述网络爬虫的基本逻辑，从网络请求库、数据解析工具、数据存储库不少于3个领域介绍网络爬虫常用的工具库。网络请求库中包括Requests、urllib、aiohttp，通过请求热搜榜案例，了解网络请求库的应用。在数据解析工具包括lxml，BeautifulSoup、Pandas、Numpy、re、json，通过解析请求热搜榜的响应结果，了解解析库的应用。数据存储库包括SQLAlchemy、PyMySQL、pymssql、sqlite3、Redis、MongoDB、Pandas、CSV、JSON，通过保存解析的热搜榜信息，了解数据存储库的应用。通过介绍指定网络爬虫获取数据的方案来贯通数据获取的思路和网络爬虫工具的应用。通过采集上海证券交易所上市公司的资产负债表、利润表、现金流量表，人才网招聘信息案例，高效通过网络爬虫获取数据。</w:t>
            </w:r>
          </w:p>
          <w:p w14:paraId="60EBA71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12、</w:t>
            </w:r>
            <w:r>
              <w:rPr>
                <w:rFonts w:hint="eastAsia" w:ascii="仿宋" w:hAnsi="仿宋" w:eastAsia="仿宋" w:cs="仿宋"/>
                <w:color w:val="auto"/>
                <w:sz w:val="18"/>
                <w:szCs w:val="18"/>
                <w:highlight w:val="none"/>
              </w:rPr>
              <w:t>大数据分析基础：通过介绍什么是数据分析、数据分析发展历程、数据分析的步骤、数据分析的目的让学生了解数据分析基础概念知识，课程中也通过介绍数据分析在财务领域、金融领域、营销领域、人力领域的应用场景，让学生能够了解学习数据分析在以后的实际工作中的应用价值。课程中也介绍了Excel、SQL、Python这三种不同的工具适用于不同的数据分析场景。</w:t>
            </w:r>
          </w:p>
          <w:p w14:paraId="0305E38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13、</w:t>
            </w:r>
            <w:r>
              <w:rPr>
                <w:rFonts w:hint="eastAsia" w:ascii="仿宋" w:hAnsi="仿宋" w:eastAsia="仿宋" w:cs="仿宋"/>
                <w:color w:val="auto"/>
                <w:sz w:val="18"/>
                <w:szCs w:val="18"/>
                <w:highlight w:val="none"/>
              </w:rPr>
              <w:t>Python数据分析：介绍Python数据分析常用到Numpy和Pandas库，通过使用多种函数创建数组让学生理解特定数据的构造，课程中预置了对excel、csv、json文件数据的读取、预览及保存，支持多种数据的筛选例如：直接筛选、索引器筛选、条件筛选等，通过管理费用案例，完成数据筛选的学习与练习操作，在数据清洗部分支持对重复值、缺失值、异常值处理，为了巩固学生对知识的掌握情况，课程中也内置了知识测验题目，同时也预置了数据清洗实验系统，让学生通过选择数据源-配置全局清洗规则-配置按字段清洗规则-开始清洗，这四步骤完成数据清洗操作。在数据修改部分支持对列的增加、删除、修改名称与运算等操作，通过管理费用明细案例完成对数据的修改操作，对处理好的数据生成描述性统计、累加计算、环比增长等等、按照索引或者值进行排序与分组计算操作，利用merge()、concat()、join()将多个数据源进行合并。通过该项目的学习能够让学生了解Pandas及基本的语法与应用。</w:t>
            </w:r>
          </w:p>
          <w:p w14:paraId="36AB066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14、</w:t>
            </w:r>
            <w:r>
              <w:rPr>
                <w:rFonts w:hint="eastAsia" w:ascii="仿宋" w:hAnsi="仿宋" w:eastAsia="仿宋" w:cs="仿宋"/>
                <w:color w:val="auto"/>
                <w:sz w:val="18"/>
                <w:szCs w:val="18"/>
                <w:highlight w:val="none"/>
              </w:rPr>
              <w:t>产品收入成本数据分析：通过编写Python程序实现产品收入成本数据分析。本项目以饮品收入成本数据为例，数据中含有日期、所属门店、日常杂费支出、物料支出(月)、总收入(月)等数据。为了能够分析有效准确的数据需要对数据进行缺失值检查、填充缺失值等操作从而达到数据的完整性。从多种角度使用Pandas对数据进行分析，满足产品收入成本数据分析的基本需求。</w:t>
            </w:r>
          </w:p>
          <w:p w14:paraId="64660CC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15、</w:t>
            </w:r>
            <w:r>
              <w:rPr>
                <w:rFonts w:hint="eastAsia" w:ascii="仿宋" w:hAnsi="仿宋" w:eastAsia="仿宋" w:cs="仿宋"/>
                <w:color w:val="auto"/>
                <w:sz w:val="18"/>
                <w:szCs w:val="18"/>
                <w:highlight w:val="none"/>
              </w:rPr>
              <w:t>大数据可视化基础：通过可视化概念与发展历程，目的，基本步骤，优势，应用场景，立体化了解数据可视化，对它有基本的认知。为了能够进行数据可视化，介绍大数据可视化常用工具，包括办公类软件、BI类、编程类、Web类，多种分类下的常用工具，并给出对应网站链接，方便下载和使用。通过Matplotlib简介、相关网站、安装方法，了解Matplotlib。通过Pyecharts简介、相关网站、安装方法，了解Pyecharts。为后续项目对这两个可视化库的应用做铺垫。</w:t>
            </w:r>
          </w:p>
          <w:p w14:paraId="1D1515D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16、</w:t>
            </w:r>
            <w:r>
              <w:rPr>
                <w:rFonts w:hint="eastAsia" w:ascii="仿宋" w:hAnsi="仿宋" w:eastAsia="仿宋" w:cs="仿宋"/>
                <w:color w:val="auto"/>
                <w:sz w:val="18"/>
                <w:szCs w:val="18"/>
                <w:highlight w:val="none"/>
              </w:rPr>
              <w:t>Python数据可视化：重点介绍Matplotlib、Pyecharts，简要介绍plotly、seaborn、pandas、worldcloud绘图库。在Matplotlib中介绍绘图步骤，以水果销量为案例背景，介绍绘制柱状图、横向条形图、折线图、饼图、散点图、箱线图、保存图片的方法。具备初级的能力后，介绍使用pandas读表绘制堆叠柱状图，绘制办公费和通讯费双折线图，使用subplots方法绘制组合图、绘制销售量的组合图，Matplotlib颜色、线条、标题、字体大小、网格、图例的设置方法。在Pyecharts中介绍绘图步骤，以水果销量为例，介绍绘制柱状图、3D柱状图、折线图、饼图、散点图、涟漪散点图、达标情况水球图的绘制方法。具备的初级绘图能力之后，介绍使用pandas对标绘制管理费用饼图，图表的颜色、线条、标记点、标记线、主题等图表外观的设置方法。图表的全局配置中介绍添加标题、工具箱配置项、视觉映射配置项、区域缩放配置项，增加图表的交互功能。在图表的系列配置中介绍将折线图修改为面积图，设置面积图的透明度。在组合图中介绍3种方式grid，tab，timeline，满足不同需求的组合图绘制。其他可视化库中介绍简要举例介绍plotly、seaborn、pandas、worldcloud有可视化能力的库。</w:t>
            </w:r>
          </w:p>
          <w:p w14:paraId="46F4673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17、</w:t>
            </w:r>
            <w:r>
              <w:rPr>
                <w:rFonts w:hint="eastAsia" w:ascii="仿宋" w:hAnsi="仿宋" w:eastAsia="仿宋" w:cs="仿宋"/>
                <w:color w:val="auto"/>
                <w:sz w:val="18"/>
                <w:szCs w:val="18"/>
                <w:highlight w:val="none"/>
              </w:rPr>
              <w:t>商品销售数据可视化：通过编写Python程序实现商品销售数据的处理分析与可视化。本项目以螺蛳粉销售评论数据为例，该数据包含不少于4千余条，涉及商品名称、销售地、销售量、评论数量、销售价格、商品ID指标。为了能够分析有效准确的数据，对数据进行去重处理、销售量单位统一处理。后续针对不同的业务需求，绘制了价格分布直方图、绘制产品销售金额排行榜横向条形图、绘制销售地排行榜柱状图、绘制商品名称词云图、绘制商品销量与销售价格散点图。从多种角度使用Matplotlib绘制了可视化图表，满足商品数据分析的基本需求。</w:t>
            </w:r>
          </w:p>
          <w:p w14:paraId="13E6C5A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18、</w:t>
            </w:r>
            <w:r>
              <w:rPr>
                <w:rFonts w:hint="eastAsia" w:ascii="仿宋" w:hAnsi="仿宋" w:eastAsia="仿宋" w:cs="仿宋"/>
                <w:color w:val="auto"/>
                <w:sz w:val="18"/>
                <w:szCs w:val="18"/>
                <w:highlight w:val="none"/>
              </w:rPr>
              <w:t>大数据思考与展望：随着大数据技术与产业的发展，随之而来的问题也逐步显现。介绍大数据带来的数据安全问题，伦理道德问题，如数据泄露与滥用，隐私数据的保护，数据传输时的安全问题，不可信数据源引发的问题等。进而引出我国针对数据，建设相关法律法规的需求，介绍今年颁布的法律法规，制定法律法规时需要注意的问题与挑战。我们无法阻挡大数据的发展，那么需要进行变革和接收挑战，进而介绍大数据引发的思维变革，大数据发展的成就与趋势，未来我们可能遇到的挑战。</w:t>
            </w:r>
          </w:p>
          <w:p w14:paraId="14398CE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三、配套学生端操作设备82台套（8核，主频≥2.7GHz；16GB 3200MHz DDR4；≥512G M.2SSD，27LED；网络同传；3年免费上门原厂质保。）</w:t>
            </w:r>
          </w:p>
          <w:p w14:paraId="760F551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rPr>
            </w:pPr>
            <w:r>
              <w:rPr>
                <w:rFonts w:hint="eastAsia" w:ascii="仿宋" w:hAnsi="仿宋" w:eastAsia="仿宋" w:cs="仿宋"/>
                <w:color w:val="auto"/>
                <w:sz w:val="18"/>
                <w:szCs w:val="18"/>
                <w:highlight w:val="none"/>
                <w:lang w:val="en-US" w:eastAsia="zh-CN"/>
              </w:rPr>
              <w:t>四、配套管理机2台套（8核/64GB/2TB SSD+4TB机械,支持VMware vSphere虚拟化，预装系统，需满足本项目流畅运行，否则将由供应商提高配置，确保适配本项目。）</w:t>
            </w:r>
          </w:p>
        </w:tc>
        <w:tc>
          <w:tcPr>
            <w:tcW w:w="919" w:type="dxa"/>
            <w:noWrap w:val="0"/>
            <w:vAlign w:val="center"/>
          </w:tcPr>
          <w:p w14:paraId="0090D38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套</w:t>
            </w:r>
          </w:p>
        </w:tc>
        <w:tc>
          <w:tcPr>
            <w:tcW w:w="879" w:type="dxa"/>
            <w:noWrap w:val="0"/>
            <w:vAlign w:val="center"/>
          </w:tcPr>
          <w:p w14:paraId="5314DD9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w:t>
            </w:r>
          </w:p>
        </w:tc>
      </w:tr>
      <w:tr w14:paraId="3088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noWrap w:val="0"/>
            <w:vAlign w:val="center"/>
          </w:tcPr>
          <w:p w14:paraId="05FBA3A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c>
          <w:tcPr>
            <w:tcW w:w="864" w:type="dxa"/>
            <w:noWrap w:val="0"/>
            <w:vAlign w:val="center"/>
          </w:tcPr>
          <w:p w14:paraId="0F9E48F8">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Excel在财务的应用教学平台</w:t>
            </w:r>
          </w:p>
        </w:tc>
        <w:tc>
          <w:tcPr>
            <w:tcW w:w="6657" w:type="dxa"/>
            <w:noWrap w:val="0"/>
            <w:vAlign w:val="center"/>
          </w:tcPr>
          <w:p w14:paraId="7FD63ED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配套凤凰</w:t>
            </w:r>
            <w:r>
              <w:rPr>
                <w:rFonts w:hint="eastAsia" w:ascii="仿宋" w:hAnsi="仿宋" w:eastAsia="仿宋" w:cs="仿宋"/>
                <w:color w:val="auto"/>
                <w:sz w:val="18"/>
                <w:szCs w:val="18"/>
                <w:highlight w:val="none"/>
              </w:rPr>
              <w:t>出版社发行的教材《Excel在财务中的应用》</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满足同时不少于50个学位的日常教学，免费更新教学内容和学生练习题。</w:t>
            </w:r>
          </w:p>
          <w:p w14:paraId="4C82DDC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【技术指标】</w:t>
            </w:r>
          </w:p>
          <w:p w14:paraId="5D566D1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rPr>
              <w:t>要求基于JavaEE平台，采用B/S架构使用java开发技术，支持主流操作系统，应用可以跨操作系统部署。技术平台先进，有良好的可扩展性；采用并发性能更好的web服务容器Undertow，基于先进的SpringCloud框架技术架构设计，可实现集群部署，使用了安全性高的Mysql数据库进行数据存贮，BS架构支持多处云部署，既支持公有云部署也支持私有云部署。</w:t>
            </w:r>
          </w:p>
          <w:p w14:paraId="2404A88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rPr>
              <w:t>企业级互联网云服务模式，基于业务垂直切分和数据水平切分的云计算Saas架构，支持大规模开课和海量教学与过程数据存储。</w:t>
            </w:r>
          </w:p>
          <w:p w14:paraId="13A9751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rPr>
              <w:t>采用分布式微服务系统架构，教学系统与业务仿真系统分离，达到企业业务高度仿真，独立于教学业务；每个独立服务都可以快速迭代，独立升级，自由伸缩。</w:t>
            </w:r>
          </w:p>
          <w:p w14:paraId="0990AC9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rPr>
              <w:t>内部服务通过gateway+Feign实现rpc高速调用，亦可方便的开放接口给第三方，不限制第三方开发技术。</w:t>
            </w:r>
          </w:p>
          <w:p w14:paraId="1FBFA94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rPr>
              <w:t>采用前后端分离技术，前后端通过HTTP/JSON 来交互，前端采用先进的VUE技术；组件化、工程化不需要依赖后端去实现，极大的提高用户体验，易于扩展。</w:t>
            </w:r>
          </w:p>
          <w:p w14:paraId="1C88FA2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rPr>
              <w:t>每个独立服务支持分布式集群部署，理论上可以无限横向扩展，提高系统处理能力，支持大规模并发教学场景。</w:t>
            </w:r>
          </w:p>
          <w:p w14:paraId="2E44D3F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rPr>
              <w:t>支持多种文档、视频类型；支持资源等非结构化文档的开放或加密存储；支持私有云，公有云存储。轻量级流程引擎，实现高效流程定义与高并发流程执行。</w:t>
            </w:r>
          </w:p>
          <w:p w14:paraId="4EE4A6E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兼容谷歌浏览器，无需安装客户端。</w:t>
            </w:r>
          </w:p>
          <w:p w14:paraId="156E118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rPr>
              <w:t>可实现Excel专业课程应用教学、训练、评价一体化运行支持，统一管理员授权，教师、学生可在同一用户端界面自由选择教虚拟班级</w:t>
            </w:r>
            <w:r>
              <w:rPr>
                <w:rFonts w:hint="eastAsia" w:ascii="仿宋" w:hAnsi="仿宋" w:eastAsia="仿宋" w:cs="仿宋"/>
                <w:color w:val="auto"/>
                <w:sz w:val="18"/>
                <w:szCs w:val="18"/>
                <w:highlight w:val="none"/>
                <w:lang w:eastAsia="zh-CN"/>
              </w:rPr>
              <w:t>。</w:t>
            </w:r>
          </w:p>
          <w:p w14:paraId="0A51284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w:t>
            </w:r>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rPr>
              <w:t>独立个人空间，无论学生、教师还是管理员，均具备独立用户空间，对教学历史数据和开课情况进行统计分析和评价。</w:t>
            </w:r>
          </w:p>
          <w:p w14:paraId="41B0087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相关功能】</w:t>
            </w:r>
          </w:p>
          <w:p w14:paraId="4B0D943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管理员端</w:t>
            </w:r>
          </w:p>
          <w:p w14:paraId="3D13F06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院系与教师管理</w:t>
            </w:r>
          </w:p>
          <w:p w14:paraId="2D1454D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管理员信息维护： 对管理员的用户名、密码、性别、生日、邮箱等基础信息进行维护。</w:t>
            </w:r>
          </w:p>
          <w:p w14:paraId="077DBC1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▲院系个性化：更改全局学生及教师院系个性化背景及院系logo，增强院校辨识度和归属感。</w:t>
            </w:r>
          </w:p>
          <w:p w14:paraId="0C83135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教授授权管理：</w:t>
            </w:r>
          </w:p>
          <w:p w14:paraId="32E8329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支持教师名单批量导入，通过模板快速导入教师名单</w:t>
            </w:r>
          </w:p>
          <w:p w14:paraId="1491130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支持对教师分别进行教学平台的授权，授权内容包括学生、班级数量及授权时间。</w:t>
            </w:r>
          </w:p>
          <w:p w14:paraId="7A4D5D2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支持对已授权教师的授权内容进行临时冻结、解冻和彻底删除</w:t>
            </w:r>
          </w:p>
          <w:p w14:paraId="1D85971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支持对教师密码进行重置及用户信息的管理端的编辑。</w:t>
            </w:r>
          </w:p>
          <w:p w14:paraId="2702C72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支持对教师姓名及账号的快速检索。</w:t>
            </w:r>
          </w:p>
          <w:p w14:paraId="5FB1603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学生与教学管理</w:t>
            </w:r>
          </w:p>
          <w:p w14:paraId="163A6FF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▲教学管理：支持查看当前管理员所拥有的授权情况，包括教学的授权数据、已授权数据和授权期限。</w:t>
            </w:r>
          </w:p>
          <w:p w14:paraId="4947AD4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学生管理：</w:t>
            </w:r>
          </w:p>
          <w:p w14:paraId="30D923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学生账号管理：支持学生名单批量导入，通过模板快速导入学生名单，该名单面向当前院系所有教师可用，可一次性将本院系所有行政班级学生信息导入。</w:t>
            </w:r>
          </w:p>
          <w:p w14:paraId="4662D9D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支持对已导入学生信息密码重置和彻底删除</w:t>
            </w:r>
          </w:p>
          <w:p w14:paraId="42E6E72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支持对学生姓名及账号的快速检索。</w:t>
            </w:r>
          </w:p>
          <w:p w14:paraId="41A15C7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班级管理：支持通过班级名称进行快速检索，查看相应班级的教师用户、学生数量、在线人数及班级等。</w:t>
            </w:r>
          </w:p>
          <w:p w14:paraId="63BC209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教师端</w:t>
            </w:r>
          </w:p>
          <w:p w14:paraId="59E8E1F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教学管理系统</w:t>
            </w:r>
          </w:p>
          <w:p w14:paraId="22BFF45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学生账号管理：支持学生名单批量导入，通过模板快速导入学生名单，该名单面向当前教师可用。</w:t>
            </w:r>
          </w:p>
          <w:p w14:paraId="76EB99E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班级创建：预设置开课班级名称、开课时间及结束时间、进班模式、班级个性化前端样式、课程案例等信息。应用价值：允许教师根据实训要求选择教学案例、学员数量、开课时间段、从而满足不同教学任务、不同规模教学班级的教学需要。</w:t>
            </w:r>
          </w:p>
          <w:p w14:paraId="0CD492B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邀请码验证：老师申请开课后系统自动生成课程邀请码，学生可凭邀请码进入当前实训班。对于采用审批模式的班级，需经过教师二次确认后方可进入该班级或考场。</w:t>
            </w:r>
          </w:p>
          <w:p w14:paraId="0644397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入班审批管理：审批学生提出的加入班级申请。应用价值：能够对学生申请加入班级进行审批，实现多班级独立授课。</w:t>
            </w:r>
          </w:p>
          <w:p w14:paraId="144F2B7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学员上线管理：支持教师对进入当前班级或考场的学员信息进行查询、状态查看以及移除班级管理。</w:t>
            </w:r>
          </w:p>
          <w:p w14:paraId="067C9B0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状态管理：系统自动对班级进行已开课、未开课、已结束、已废弃分类，并可对已开课、未开课、已结束的班级进行删除作废处理，对已废弃的班级进行恢复班级和彻底删除操作。可认为修改班级的结束时间。</w:t>
            </w:r>
          </w:p>
          <w:p w14:paraId="692E38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▲教学进度：查看当前教学班课学生的学习进度，可按照案例任务纬度分别了解实训进展，便于老师发现问题、调整教学节奏。</w:t>
            </w:r>
          </w:p>
          <w:p w14:paraId="5E3D8EB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多班级授课管理：对各个班级进行单独管理。应用价值：通过多班级管理系统，能够实现多班级独立授课。</w:t>
            </w:r>
          </w:p>
          <w:p w14:paraId="2D5CE5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学生账号管理：支持教师端对学生账号的批量导入、查找、冻结、密码重置、删除等操作。</w:t>
            </w:r>
          </w:p>
          <w:p w14:paraId="4686944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教学应用系统</w:t>
            </w:r>
          </w:p>
          <w:p w14:paraId="2299390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▲成绩评价管理：支持当前班级或考场的人数、最高分、最低分、平均分概览；支持班级整体评价、效能分析、知识点、能力点、学生、任务等多维度可视化分析。（需提供系统演示视频）</w:t>
            </w:r>
          </w:p>
          <w:p w14:paraId="6FCB901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教学资源管理：支持教学平台教师端按照案例任务调阅教学资源，帮助教师完成集中备课。</w:t>
            </w:r>
          </w:p>
          <w:p w14:paraId="2E91C6C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答题情况分析：支持教师选择任意学生的任意答题结果进行查看，但不可编辑。</w:t>
            </w:r>
          </w:p>
          <w:p w14:paraId="597B8D8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大屏显示：支持成绩大屏按照设定刷新时间显示作业成绩，支持大屏显示自动生成外链，云端展示大屏实况（外链分享本地或云服务支持均可）。</w:t>
            </w:r>
          </w:p>
          <w:p w14:paraId="7CDBB2F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学生端</w:t>
            </w:r>
          </w:p>
          <w:p w14:paraId="03BE6F9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学生信息管理系统</w:t>
            </w:r>
          </w:p>
          <w:p w14:paraId="2F84E25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▲用户注册：支持学生通过手机号码自助完成注册（本地或云服务支持均可）；同时支持学生账号的教师端批量导入完成批量注册，教师端导入注册信息可绑定手机号码。</w:t>
            </w:r>
          </w:p>
          <w:p w14:paraId="381CCD1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登录管理：支持学生依据系统账号、手机号码、邮箱账号登录系统。支持鹏燊云账号通过绑定微信后扫描二维码登录；支持账号的手机号码、邮箱和微信的绑定。（手机邮箱账号登录，本地或云服务支持均可）</w:t>
            </w:r>
          </w:p>
          <w:p w14:paraId="506F5BA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▲院校绑定：支持学生账号和院校账号的一次性绑定，保障院校授课资源的安全。（本地或云服务支持均可）</w:t>
            </w:r>
          </w:p>
          <w:p w14:paraId="4964FD6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▲密码管理：支持学生依据系统账号、手机号码、邮箱账号自助完成密码重置（本地或云服务支持均可）</w:t>
            </w:r>
          </w:p>
          <w:p w14:paraId="367EC81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实训管理系统</w:t>
            </w:r>
          </w:p>
          <w:p w14:paraId="43E274C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进班管理：支持通过邀请码快速进入教学班级</w:t>
            </w:r>
          </w:p>
          <w:p w14:paraId="19BB7A7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▲班级状态管理：系统自动对班级进行已开课、未开课、已结束分类管理。 </w:t>
            </w:r>
          </w:p>
          <w:p w14:paraId="32B1034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班级查询：通过关键字进行快速班级查询定位。</w:t>
            </w:r>
          </w:p>
          <w:p w14:paraId="3A84AAE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班级详情：查看班级名称、主讲教师、课程时间、创建时间等信息。</w:t>
            </w:r>
          </w:p>
          <w:p w14:paraId="766DF3A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学生多班级上课：可以选择不同的班级上课。教学价值：通过多班级管理系统，学生可以参与到不同的班级中进行学习。</w:t>
            </w:r>
          </w:p>
          <w:p w14:paraId="2BB8A1F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实训应用系统</w:t>
            </w:r>
          </w:p>
          <w:p w14:paraId="36C8AC6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Excel、WPS一体化应用：考核任务等文件与浏览器一体化，打开、编辑、保存在线一键完成，免去上传、下载繁琐操作，简化操作的同时避免学生借用文件进行作弊。（需提供系统演示视频）</w:t>
            </w:r>
          </w:p>
          <w:p w14:paraId="595D7F3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可视化甄别：对完成并提交的任务进行甄别评价，实现错误单元格以红色背景标示的效果。甄别结束后，系统自动对红色单元格进行黄色渲染，便于学生进行定位分析。价值：帮助学生快速查找错误信息，准确定位问题所在，便于有针对性的改进提升（需提供系统演示视频）</w:t>
            </w:r>
          </w:p>
          <w:p w14:paraId="18E13DE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精准评价：可对学生提交的考核文件逐个单元格进行评价，评价计分可精确到按照每个考核单元格进行分别计算考核得分并合计本考核单据的总分，在此基础上自动计算并显示每个学生的所有任务得分，包括每个任务的总分、得分、得分率。</w:t>
            </w:r>
          </w:p>
          <w:p w14:paraId="727C0E6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可视化图表甄别：支持图表、迷你图、表名称甄别能力，可根据预设的权重进行自动比对甄别。</w:t>
            </w:r>
          </w:p>
          <w:p w14:paraId="348644D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单元格格式甄别：支持对齐、边框、填充、字体等单元格格式自动甄别评价、点对点解析。</w:t>
            </w:r>
          </w:p>
          <w:p w14:paraId="3041112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▲错误单元格自动解析：精准甄别出来的错误单元格，系统提供定点指向反馈答题结果、标准答案、标准公式，为学生分析错误数据原因，为自助学习提供系统支持。（需提供系统演示视频）</w:t>
            </w:r>
          </w:p>
          <w:p w14:paraId="388C4B3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重做：支持学生端一键完成任务数据初始化，通过“重做”功能可反复多次练习，加深对技能点的掌握程度和熟练度。（需提供系统演示视频）</w:t>
            </w:r>
          </w:p>
          <w:p w14:paraId="043E07E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微课画中画：所有教学任务，匹配同步教学微视频，支持教学微课视频在操作任务单据时，实现边操作边播放视频的画中画模式，手帮手教学生进行系统操作，大幅降低教师教学难度，提高学生的学习效率和效果。</w:t>
            </w:r>
          </w:p>
          <w:p w14:paraId="102F48F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移动端互动：支持移动端扫描任务二维码直接读取当前任务的过程解析、参考答案及教学微课（依赖公网环境及教师端开放权限）。</w:t>
            </w:r>
          </w:p>
          <w:p w14:paraId="03EC1D1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成绩多维可视化分析：成绩从学生、任务、效能、知识点、能力点等多个维度提供可视化分析和成绩导出（本地或云服务支持均可）。（需提供系统演示视频）</w:t>
            </w:r>
          </w:p>
          <w:p w14:paraId="0F575F6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参考答案：在教师端释放答案后，学生端可以随时查看本任务的系统预制参考答案。价值：帮助学生更好的完成任务，自查自纠，自主学习。帮助老师降低授课难度，做到易教乐学</w:t>
            </w:r>
          </w:p>
          <w:p w14:paraId="75629C8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任务数据：完成当前任务所需要对数据，系统以可直接复制粘贴的表数据形式提供。价值：便于学生快速复制数据，进入任务的数据运算、分析环节</w:t>
            </w:r>
          </w:p>
          <w:p w14:paraId="0F7F15C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支持在线Excel、WPS函数应用：在线考核单据全面支持Excel、WPS所有函数，可在考核单据中应用、编辑Excel、WPS函数进行运算，全面支持Excel、WPS软件的在线应用，实现了平台与Excel、WPS软件的一体化应用。</w:t>
            </w:r>
          </w:p>
          <w:p w14:paraId="1F0D016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流程管理：自动显示当前任务的流程节点，可通过点选其中的任务节点，直接跳转相应的节点任务。</w:t>
            </w:r>
          </w:p>
          <w:p w14:paraId="11FEA33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标记任务：通过点击“标记本题”，可对当前任务进行标记和取消标记，便于学生对任务进行管理。</w:t>
            </w:r>
          </w:p>
          <w:p w14:paraId="1B1C456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解析文档：在教师释放甄别的情况下，学生端可查看解析文档，帮助学生深入分析解决当前任务的解题过程。</w:t>
            </w:r>
          </w:p>
          <w:p w14:paraId="0BB85A2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能力点分析：在教师释放甄别的情况下，学生可实时获取当前任务或当前案例的能力点掌握情况（本地或云服务支持均可）。（需提供系统演示视频）</w:t>
            </w:r>
          </w:p>
          <w:p w14:paraId="02A83CC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知识点分析：在教师释放甄别的情况下，学生可实时获取当前任务或当前案例的知识点掌握情况（本地或云服务支持均可）。（需提供系统演示视频）</w:t>
            </w:r>
          </w:p>
          <w:p w14:paraId="3BDD6EA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同步实训根据教学视频和示例内容，学生可模仿自主完成学习内容。</w:t>
            </w:r>
          </w:p>
          <w:p w14:paraId="7C7A26D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【课程内容】</w:t>
            </w:r>
          </w:p>
          <w:p w14:paraId="44CE1DC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 基础知识</w:t>
            </w:r>
          </w:p>
          <w:p w14:paraId="3E77615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工作界面与基础操作、公式与函数、图表、排序与筛选、分类汇总与数据透视图、工作表打印管理</w:t>
            </w:r>
          </w:p>
          <w:p w14:paraId="698545D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本模块共有12个同步实训任务，12个答案文档，12个教学视频资源。</w:t>
            </w:r>
          </w:p>
          <w:p w14:paraId="54549C8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Excel在往来款项管理中的应用</w:t>
            </w:r>
          </w:p>
          <w:p w14:paraId="2796F80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应收账款的统计、应收账款的分析、应付账款的统计。</w:t>
            </w:r>
          </w:p>
          <w:p w14:paraId="23AC8B5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本模块共有6个同步实训任务，6个答案文档，6个教学视频资源。</w:t>
            </w:r>
          </w:p>
          <w:p w14:paraId="15A9C5E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Excel在进销存管理中的应用</w:t>
            </w:r>
          </w:p>
          <w:p w14:paraId="3A43F1EE">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采购管理、销售管理、库存管理。</w:t>
            </w:r>
          </w:p>
          <w:p w14:paraId="15BAF73B">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本模块共有9个同步实训任务，9个答案文档，6个教学视频资源。</w:t>
            </w:r>
          </w:p>
          <w:p w14:paraId="0A6F84EC">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Excel在固定资产管理中的应用</w:t>
            </w:r>
          </w:p>
          <w:p w14:paraId="7510B2C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固定资产管理、计提固定资产折旧。</w:t>
            </w:r>
          </w:p>
          <w:p w14:paraId="72A6C29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本模块共有7个同步实训任务，7个答案文档，7个教学视频资源。</w:t>
            </w:r>
          </w:p>
          <w:p w14:paraId="2506D31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Excel在工资管理中的应用</w:t>
            </w:r>
          </w:p>
          <w:p w14:paraId="2A5A48A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工资表单管理、工资数据的查询与汇总分析、工资条制作。</w:t>
            </w:r>
          </w:p>
          <w:p w14:paraId="6025DC9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本模块共有6个同步实训任务，6个答案文档，6个教学视频资源。</w:t>
            </w:r>
          </w:p>
          <w:p w14:paraId="6D8E609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Excel 在费用管理中的应用</w:t>
            </w:r>
          </w:p>
          <w:p w14:paraId="0247CE3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费用单据制作、费用管理。</w:t>
            </w:r>
          </w:p>
          <w:p w14:paraId="62021E7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本模块共有5个同步实训任务，5个答案文档，5个教学视频资源。</w:t>
            </w:r>
          </w:p>
          <w:p w14:paraId="0329E7D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资源内容中共有6大教学模块，45个任务，45个教学微课视频，45个答案文档。</w:t>
            </w:r>
          </w:p>
          <w:p w14:paraId="7A20682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zh-CN"/>
              </w:rPr>
            </w:pPr>
            <w:r>
              <w:rPr>
                <w:rFonts w:hint="eastAsia" w:ascii="仿宋" w:hAnsi="仿宋" w:eastAsia="仿宋" w:cs="仿宋"/>
                <w:color w:val="auto"/>
                <w:sz w:val="18"/>
                <w:szCs w:val="18"/>
                <w:highlight w:val="none"/>
                <w:lang w:val="zh-CN"/>
              </w:rPr>
              <w:t>配套教辅</w:t>
            </w:r>
          </w:p>
          <w:p w14:paraId="415702C3">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学生用电子素材（包括学生操作服务与支持）。</w:t>
            </w:r>
          </w:p>
          <w:p w14:paraId="79F24B36">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教师用电子素材（包括教师操作服务与支持），用以支撑教学过程。</w:t>
            </w:r>
          </w:p>
          <w:p w14:paraId="375A0E49">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rPr>
              <w:t>院校管理员操作手册。</w:t>
            </w:r>
          </w:p>
        </w:tc>
        <w:tc>
          <w:tcPr>
            <w:tcW w:w="919" w:type="dxa"/>
            <w:noWrap w:val="0"/>
            <w:vAlign w:val="center"/>
          </w:tcPr>
          <w:p w14:paraId="261ACB8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套</w:t>
            </w:r>
          </w:p>
        </w:tc>
        <w:tc>
          <w:tcPr>
            <w:tcW w:w="879" w:type="dxa"/>
            <w:noWrap w:val="0"/>
            <w:vAlign w:val="center"/>
          </w:tcPr>
          <w:p w14:paraId="24FA55B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r w14:paraId="7F290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0" w:hRule="atLeast"/>
        </w:trPr>
        <w:tc>
          <w:tcPr>
            <w:tcW w:w="630" w:type="dxa"/>
            <w:noWrap w:val="0"/>
            <w:vAlign w:val="center"/>
          </w:tcPr>
          <w:p w14:paraId="44754A1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3</w:t>
            </w:r>
          </w:p>
        </w:tc>
        <w:tc>
          <w:tcPr>
            <w:tcW w:w="864" w:type="dxa"/>
            <w:noWrap w:val="0"/>
            <w:vAlign w:val="center"/>
          </w:tcPr>
          <w:p w14:paraId="66472296">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b/>
                <w:bCs/>
                <w:color w:val="auto"/>
                <w:sz w:val="18"/>
                <w:szCs w:val="18"/>
                <w:highlight w:val="none"/>
              </w:rPr>
            </w:pPr>
            <w:r>
              <w:rPr>
                <w:rFonts w:hint="eastAsia" w:ascii="仿宋" w:hAnsi="仿宋" w:eastAsia="仿宋" w:cs="仿宋"/>
                <w:color w:val="auto"/>
                <w:sz w:val="18"/>
                <w:szCs w:val="18"/>
                <w:highlight w:val="none"/>
              </w:rPr>
              <w:t>系统管理软件</w:t>
            </w:r>
          </w:p>
        </w:tc>
        <w:tc>
          <w:tcPr>
            <w:tcW w:w="6657" w:type="dxa"/>
            <w:noWrap w:val="0"/>
            <w:vAlign w:val="center"/>
          </w:tcPr>
          <w:p w14:paraId="12753EC9">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（1）支持统信UOS、麒麟KylinOS信创国产化操作系统的立即还原、每天还原、每周还原、每月还原等方式并支持还原点的创建；</w:t>
            </w:r>
          </w:p>
          <w:p w14:paraId="3A30F3D1">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（2）支持信创终端电脑MBR分区系统和GPT分区系统混合安装,可支持60个以上的不同操作系统；</w:t>
            </w:r>
          </w:p>
          <w:p w14:paraId="051CE296">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（3）支持海光、兆芯国产终端电脑额外安装WINDOWS操作系统，满足特殊场景应用，用户可以随时隐藏该系统的选单界面；</w:t>
            </w:r>
          </w:p>
          <w:p w14:paraId="3C25B08A">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（4）支持国产终端电脑SSD硬盘和机械硬盘双硬盘保护模式和同传； </w:t>
            </w:r>
          </w:p>
          <w:p w14:paraId="14EDF5A2">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（5）针对系统或者频道创建多个状态的还原点，恢复还原点、删除还原点。系统维护时，新增软件，软件冲突等软件导致系统损坏，可快速恢复到上一次保存的状态；</w:t>
            </w:r>
          </w:p>
          <w:p w14:paraId="5E3922B3">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（6）支持隐藏底层操作系统选单，当有多个操作系统时，可设置默认进入某个操作系统，可以以秒为自定义进入系统的时间；</w:t>
            </w:r>
          </w:p>
          <w:p w14:paraId="7EEF521C">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（7）支持自定义选择是否显示开机背景和开机画面；</w:t>
            </w:r>
          </w:p>
          <w:p w14:paraId="5B963C95">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（8）可对多个操作系统自动分配不同网段的IP地址，用于不同的内外网使用环境或实验环境；</w:t>
            </w:r>
          </w:p>
          <w:p w14:paraId="149F2D58">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（9）在保留现有操作系统情况下，支持对磁盘进行新增分区、删除分区、设置分区还原方式； </w:t>
            </w:r>
          </w:p>
          <w:p w14:paraId="5AF47B61">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（10）在无网络情况下，终端上可挂多硬盘，支持将本机硬盘数据复制出给其它硬盘，其它终端要以挂载复制好的硬盘直接使用；</w:t>
            </w:r>
          </w:p>
          <w:p w14:paraId="1E8B1887">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11）可分配用户权限，自主在现有安装好的统信UOS、麒麟KylinOS信创国产化操作系统下面快速（3秒内）创建属于自己的专用虚拟系统，所安装的软件和保存的数据仅自己可以使用，其他用户无法查看、修改或删除；</w:t>
            </w:r>
          </w:p>
          <w:p w14:paraId="4718CE54">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（12）可在现有安装好的统信UOS、麒麟KylinOS国产化操作系统下面快速（3秒内）复制出一个同样的频道系统，无需重新分区；该频道系统可以安装不同的应用软件，实现一机多用；</w:t>
            </w:r>
          </w:p>
          <w:p w14:paraId="2E583A95">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（13）可同时对1000台以上的信创终端电脑采用差异拷贝的方式对系统和软件进行更新部署，并同时对UOS、KOS信创国产化操作系统的计算机名和IP地址进行自动分配；</w:t>
            </w:r>
          </w:p>
          <w:p w14:paraId="3D8A95A5">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（14）当国产终端电脑因特殊需要安装使用WINDOWS操作系统，管理人员可以远程监控使用者的桌面，并可限制桌面使用的程序、U盘外设和访问的网址，防止资料泄密；</w:t>
            </w:r>
          </w:p>
          <w:p w14:paraId="444C2B4E">
            <w:pPr>
              <w:keepNext w:val="0"/>
              <w:keepLines w:val="0"/>
              <w:pageBreakBefore w:val="0"/>
              <w:widowControl w:val="0"/>
              <w:kinsoku/>
              <w:wordWrap/>
              <w:overflowPunct/>
              <w:topLinePunct w:val="0"/>
              <w:autoSpaceDE/>
              <w:autoSpaceDN/>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（15）在使用WINDOWS系统时可统计每台信创终端电脑的硬件配置，当硬件配置发生变更时可对管理人员发出报警提示。并可统计硬件资产信息并导出报表；</w:t>
            </w:r>
          </w:p>
        </w:tc>
        <w:tc>
          <w:tcPr>
            <w:tcW w:w="919" w:type="dxa"/>
            <w:noWrap w:val="0"/>
            <w:vAlign w:val="center"/>
          </w:tcPr>
          <w:p w14:paraId="612706E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套</w:t>
            </w:r>
          </w:p>
        </w:tc>
        <w:tc>
          <w:tcPr>
            <w:tcW w:w="879" w:type="dxa"/>
            <w:noWrap w:val="0"/>
            <w:vAlign w:val="center"/>
          </w:tcPr>
          <w:p w14:paraId="59D5733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r w14:paraId="2B83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630" w:type="dxa"/>
            <w:noWrap w:val="0"/>
            <w:vAlign w:val="center"/>
          </w:tcPr>
          <w:p w14:paraId="060EADE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4</w:t>
            </w:r>
          </w:p>
        </w:tc>
        <w:tc>
          <w:tcPr>
            <w:tcW w:w="864" w:type="dxa"/>
            <w:noWrap w:val="0"/>
            <w:vAlign w:val="center"/>
          </w:tcPr>
          <w:p w14:paraId="6C152B2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风管机</w:t>
            </w:r>
          </w:p>
        </w:tc>
        <w:tc>
          <w:tcPr>
            <w:tcW w:w="6657" w:type="dxa"/>
            <w:noWrap w:val="0"/>
            <w:vAlign w:val="center"/>
          </w:tcPr>
          <w:p w14:paraId="134B9EE5">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auto"/>
              <w:rPr>
                <w:rFonts w:hint="eastAsia" w:ascii="仿宋" w:hAnsi="仿宋" w:eastAsia="仿宋" w:cs="仿宋"/>
                <w:bCs/>
                <w:color w:val="auto"/>
                <w:kern w:val="0"/>
                <w:sz w:val="18"/>
                <w:szCs w:val="18"/>
                <w:highlight w:val="none"/>
                <w:lang w:eastAsia="zh-CN"/>
              </w:rPr>
            </w:pPr>
            <w:r>
              <w:rPr>
                <w:rFonts w:hint="eastAsia" w:ascii="仿宋" w:hAnsi="仿宋" w:eastAsia="仿宋" w:cs="仿宋"/>
                <w:color w:val="auto"/>
                <w:kern w:val="0"/>
                <w:position w:val="6"/>
                <w:sz w:val="18"/>
                <w:szCs w:val="18"/>
                <w:highlight w:val="none"/>
                <w:lang w:val="en-US" w:eastAsia="zh-CN"/>
              </w:rPr>
              <w:t>5匹机，</w:t>
            </w:r>
            <w:r>
              <w:rPr>
                <w:rFonts w:hint="eastAsia" w:ascii="仿宋" w:hAnsi="仿宋" w:eastAsia="仿宋" w:cs="仿宋"/>
                <w:color w:val="auto"/>
                <w:kern w:val="0"/>
                <w:position w:val="6"/>
                <w:sz w:val="18"/>
                <w:szCs w:val="18"/>
                <w:highlight w:val="none"/>
                <w:lang w:val="zh-CN" w:eastAsia="zh-CN"/>
              </w:rPr>
              <w:t>以实际安装场景，电源线和铜管由成交供应商承担，采购人不支付额外费用。</w:t>
            </w:r>
          </w:p>
        </w:tc>
        <w:tc>
          <w:tcPr>
            <w:tcW w:w="919" w:type="dxa"/>
            <w:noWrap w:val="0"/>
            <w:vAlign w:val="center"/>
          </w:tcPr>
          <w:p w14:paraId="2CBECA2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76B6B72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r>
      <w:tr w14:paraId="22F4B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630" w:type="dxa"/>
            <w:shd w:val="clear" w:color="auto" w:fill="auto"/>
            <w:noWrap w:val="0"/>
            <w:vAlign w:val="center"/>
          </w:tcPr>
          <w:p w14:paraId="294D174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5</w:t>
            </w:r>
          </w:p>
        </w:tc>
        <w:tc>
          <w:tcPr>
            <w:tcW w:w="864" w:type="dxa"/>
            <w:shd w:val="clear" w:color="auto" w:fill="auto"/>
            <w:noWrap w:val="0"/>
            <w:vAlign w:val="center"/>
          </w:tcPr>
          <w:p w14:paraId="5CB6CE2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2"/>
                <w:sz w:val="18"/>
                <w:szCs w:val="18"/>
                <w:highlight w:val="none"/>
                <w:lang w:val="en-US" w:eastAsia="zh-CN" w:bidi="ar-SA"/>
              </w:rPr>
            </w:pPr>
            <w:r>
              <w:rPr>
                <w:rFonts w:hint="eastAsia" w:ascii="仿宋" w:hAnsi="仿宋" w:eastAsia="仿宋" w:cs="仿宋"/>
                <w:color w:val="auto"/>
                <w:sz w:val="18"/>
                <w:szCs w:val="18"/>
                <w:highlight w:val="none"/>
                <w:lang w:val="en-US" w:eastAsia="zh-CN"/>
              </w:rPr>
              <w:t>实物投影仪</w:t>
            </w:r>
          </w:p>
        </w:tc>
        <w:tc>
          <w:tcPr>
            <w:tcW w:w="6657" w:type="dxa"/>
            <w:shd w:val="clear" w:color="auto" w:fill="auto"/>
            <w:noWrap w:val="0"/>
            <w:vAlign w:val="center"/>
          </w:tcPr>
          <w:p w14:paraId="6CE7A78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val="0"/>
              <w:snapToGrid w:val="0"/>
              <w:spacing w:beforeAutospacing="0" w:afterAutospacing="0" w:line="240" w:lineRule="auto"/>
              <w:ind w:left="0" w:leftChars="0" w:right="0" w:rightChars="0" w:firstLine="0" w:firstLineChars="0"/>
              <w:jc w:val="left"/>
              <w:textAlignment w:val="auto"/>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2"/>
                <w:sz w:val="18"/>
                <w:szCs w:val="18"/>
                <w:highlight w:val="none"/>
                <w:lang w:val="en-US" w:eastAsia="zh-CN" w:bidi="ar-SA"/>
              </w:rPr>
              <w:t>1600W摄像头，12倍数字无损变焦，支持批注、缩放、旋转、保存分享、拍照等操作。USB供电；拍摄画面≥A4；图像色彩≥24位；</w:t>
            </w:r>
          </w:p>
        </w:tc>
        <w:tc>
          <w:tcPr>
            <w:tcW w:w="919" w:type="dxa"/>
            <w:shd w:val="clear" w:color="auto" w:fill="auto"/>
            <w:noWrap w:val="0"/>
            <w:vAlign w:val="center"/>
          </w:tcPr>
          <w:p w14:paraId="7DE289C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台</w:t>
            </w:r>
          </w:p>
        </w:tc>
        <w:tc>
          <w:tcPr>
            <w:tcW w:w="879" w:type="dxa"/>
            <w:shd w:val="clear" w:color="auto" w:fill="auto"/>
            <w:noWrap w:val="0"/>
            <w:vAlign w:val="center"/>
          </w:tcPr>
          <w:p w14:paraId="112B3AFE">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lang w:val="en-US" w:eastAsia="zh-CN"/>
              </w:rPr>
              <w:t>2</w:t>
            </w:r>
          </w:p>
        </w:tc>
      </w:tr>
      <w:tr w14:paraId="752CF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630" w:type="dxa"/>
            <w:noWrap w:val="0"/>
            <w:vAlign w:val="center"/>
          </w:tcPr>
          <w:p w14:paraId="0326D691">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6</w:t>
            </w:r>
          </w:p>
        </w:tc>
        <w:tc>
          <w:tcPr>
            <w:tcW w:w="864" w:type="dxa"/>
            <w:noWrap w:val="0"/>
            <w:vAlign w:val="center"/>
          </w:tcPr>
          <w:p w14:paraId="2A58BE6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网络设备</w:t>
            </w:r>
          </w:p>
        </w:tc>
        <w:tc>
          <w:tcPr>
            <w:tcW w:w="6657" w:type="dxa"/>
            <w:noWrap w:val="0"/>
            <w:vAlign w:val="center"/>
          </w:tcPr>
          <w:p w14:paraId="33B0910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园区接入交换机，512MB，Console接口类RJ45，内置交流供电，48个千兆电口+4个万兆光口。背板带宽不低于600Gbps/6Tbps，包转发率不低于180Mpps，性能参考可参考华为S5735-L48T4S-A2。</w:t>
            </w:r>
          </w:p>
          <w:p w14:paraId="32ABAD49">
            <w:pPr>
              <w:pStyle w:val="17"/>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40" w:lineRule="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网络设备需满足本项目流畅运行，否则将由供应商提高配置，确保适配本项目。</w:t>
            </w:r>
          </w:p>
        </w:tc>
        <w:tc>
          <w:tcPr>
            <w:tcW w:w="919" w:type="dxa"/>
            <w:noWrap w:val="0"/>
            <w:vAlign w:val="center"/>
          </w:tcPr>
          <w:p w14:paraId="20F1963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31216A9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r>
      <w:tr w14:paraId="1580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3" w:hRule="atLeast"/>
        </w:trPr>
        <w:tc>
          <w:tcPr>
            <w:tcW w:w="630" w:type="dxa"/>
            <w:noWrap w:val="0"/>
            <w:vAlign w:val="center"/>
          </w:tcPr>
          <w:p w14:paraId="294FA63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7</w:t>
            </w:r>
          </w:p>
        </w:tc>
        <w:tc>
          <w:tcPr>
            <w:tcW w:w="864" w:type="dxa"/>
            <w:noWrap w:val="0"/>
            <w:vAlign w:val="center"/>
          </w:tcPr>
          <w:p w14:paraId="0E8F56A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多媒体讲台</w:t>
            </w:r>
          </w:p>
        </w:tc>
        <w:tc>
          <w:tcPr>
            <w:tcW w:w="6657" w:type="dxa"/>
            <w:noWrap w:val="0"/>
            <w:vAlign w:val="center"/>
          </w:tcPr>
          <w:p w14:paraId="63043FEC">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讲桌采用钢木结合构造，钢板厚度1.2-1.5mm。桌体上部分采用圆弧设计。讲台整体设计符合人体力学原理，提供左右实木扶手，供使用者扶用。工艺：脱脂、磷化、静电喷塑、溜平固化，重点部位须采用一次冲压成型技术；所有钣金部分均采用激光切割加工，所有尖角倒圆角不小于R3，保证使用者和维护者不划伤。盖门采取翻转方式，更加人性化的设计，解决了以往盖门沉重，女教师及年老教师开门比较困难的问题。讲台关闭尺寸：1100*780*1000mm。</w:t>
            </w:r>
          </w:p>
          <w:p w14:paraId="2D150B96">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2、合理的尺寸设计，合理的设备安排，国标19英寸机架，后背门设有带锁检修门，真正做到防盗功能。</w:t>
            </w:r>
          </w:p>
          <w:p w14:paraId="7E7C223E">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3、钢木结合材料一体成型；实木扶手；桌面为12mm木质耐划台面；全封闭式结构，保障了多媒体设备的安全性。</w:t>
            </w:r>
          </w:p>
          <w:p w14:paraId="377319F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4、整个讲台只使用一副滑轨，减少故障几率。</w:t>
            </w:r>
          </w:p>
          <w:p w14:paraId="2FA6E754">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液晶显示器采用反转设计，显示器角度随意调节，可使视线和显示器接近垂直，可安装17-23.8寸显示器（要求显示器后面有壁挂孔），关闭后所有设备都隐藏在讲台内；讲台操作由一把锁控制；显示器，键盘、鼠标、中控盒通过内置连环结构控制且互不影响独立操作。</w:t>
            </w:r>
          </w:p>
          <w:p w14:paraId="57FE7FF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6、整体采用分体式结构，上下两部分采用分体组装。</w:t>
            </w:r>
          </w:p>
          <w:p w14:paraId="3020D269">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7、键盘采用翻转式操作，显示器、中央控制系统、键盘互不影响独立操作。</w:t>
            </w:r>
          </w:p>
          <w:p w14:paraId="702303B3">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8、右侧采用隐藏抽拉式设计，承重不少于6公斤，可安装视频展示台、高拍仪等。</w:t>
            </w:r>
          </w:p>
          <w:p w14:paraId="7A12401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9、桌面预留集成笔记本接口模块（USB两个\VGA一个\网络接口一个\ Audio一个\电源接口一个\话筒接口一个。</w:t>
            </w:r>
          </w:p>
          <w:p w14:paraId="174ABA6D">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10、桌体下层内部采用标准机柜设计，带层板，所有设备可整齐固定。</w:t>
            </w:r>
          </w:p>
          <w:p w14:paraId="031DAB61">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11、讲台内可放设备：教学终端、中控、实物展示台、键盘、显示器、电脑主机、功放、音响等教学设备； </w:t>
            </w:r>
          </w:p>
          <w:p w14:paraId="5CD7713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12、讲台具备防盗、防火、防尘、散热强等功能：关闭时所有设备不外露，必须借助钥匙才能开启。</w:t>
            </w:r>
          </w:p>
        </w:tc>
        <w:tc>
          <w:tcPr>
            <w:tcW w:w="919" w:type="dxa"/>
            <w:noWrap w:val="0"/>
            <w:vAlign w:val="center"/>
          </w:tcPr>
          <w:p w14:paraId="5421AF8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台</w:t>
            </w:r>
          </w:p>
        </w:tc>
        <w:tc>
          <w:tcPr>
            <w:tcW w:w="879" w:type="dxa"/>
            <w:noWrap w:val="0"/>
            <w:vAlign w:val="center"/>
          </w:tcPr>
          <w:p w14:paraId="5CFC5E2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2</w:t>
            </w:r>
          </w:p>
        </w:tc>
      </w:tr>
      <w:tr w14:paraId="239F8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4" w:hRule="atLeast"/>
        </w:trPr>
        <w:tc>
          <w:tcPr>
            <w:tcW w:w="630" w:type="dxa"/>
            <w:noWrap w:val="0"/>
            <w:vAlign w:val="center"/>
          </w:tcPr>
          <w:p w14:paraId="177E351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8</w:t>
            </w:r>
          </w:p>
        </w:tc>
        <w:tc>
          <w:tcPr>
            <w:tcW w:w="864" w:type="dxa"/>
            <w:noWrap w:val="0"/>
            <w:vAlign w:val="center"/>
          </w:tcPr>
          <w:p w14:paraId="306EE7B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学生桌椅</w:t>
            </w:r>
          </w:p>
        </w:tc>
        <w:tc>
          <w:tcPr>
            <w:tcW w:w="6657" w:type="dxa"/>
            <w:noWrap w:val="0"/>
            <w:vAlign w:val="center"/>
          </w:tcPr>
          <w:p w14:paraId="6FD2D253">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桌子规格：五边形翻转桌、课桌材质：采用25mm三聚氰胺板，环保材质，课桌五人一组，要求五个工位，简约可以拼接移动，课桌形状、尺寸按照教室尺寸设计，设计样式颜色跟装修风格一致。椅子尺寸：常规 ，面料：网布；坐垫：加厚海绵；椅脚：优质环保钢制弓型脚架。保修三年以上</w:t>
            </w:r>
          </w:p>
        </w:tc>
        <w:tc>
          <w:tcPr>
            <w:tcW w:w="919" w:type="dxa"/>
            <w:noWrap w:val="0"/>
            <w:vAlign w:val="center"/>
          </w:tcPr>
          <w:p w14:paraId="4EA4ADC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eastAsia="zh-CN"/>
              </w:rPr>
            </w:pPr>
            <w:r>
              <w:rPr>
                <w:rFonts w:hint="eastAsia" w:ascii="仿宋" w:hAnsi="仿宋" w:eastAsia="仿宋" w:cs="仿宋"/>
                <w:color w:val="auto"/>
                <w:kern w:val="0"/>
                <w:sz w:val="18"/>
                <w:szCs w:val="18"/>
                <w:highlight w:val="none"/>
                <w:lang w:val="en-US" w:eastAsia="zh-CN"/>
              </w:rPr>
              <w:t>组</w:t>
            </w:r>
          </w:p>
        </w:tc>
        <w:tc>
          <w:tcPr>
            <w:tcW w:w="879" w:type="dxa"/>
            <w:noWrap w:val="0"/>
            <w:vAlign w:val="center"/>
          </w:tcPr>
          <w:p w14:paraId="51B8692E">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8</w:t>
            </w:r>
          </w:p>
        </w:tc>
      </w:tr>
      <w:tr w14:paraId="296C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630" w:type="dxa"/>
            <w:noWrap w:val="0"/>
            <w:vAlign w:val="center"/>
          </w:tcPr>
          <w:p w14:paraId="0BD708E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9</w:t>
            </w:r>
          </w:p>
        </w:tc>
        <w:tc>
          <w:tcPr>
            <w:tcW w:w="864" w:type="dxa"/>
            <w:noWrap w:val="0"/>
            <w:vAlign w:val="center"/>
          </w:tcPr>
          <w:p w14:paraId="0756188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会计专用桌椅</w:t>
            </w:r>
          </w:p>
        </w:tc>
        <w:tc>
          <w:tcPr>
            <w:tcW w:w="6657" w:type="dxa"/>
            <w:noWrap w:val="0"/>
            <w:vAlign w:val="center"/>
          </w:tcPr>
          <w:p w14:paraId="246B0AC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规格：1400mm×600mm×750mm，钢木结构，带抽屉及文件柜</w:t>
            </w:r>
          </w:p>
          <w:p w14:paraId="47F5E91F">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用途：模拟财务办公环境，支持凭证填制、账簿登记等操作</w:t>
            </w:r>
          </w:p>
          <w:p w14:paraId="38AE57D1">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p>
        </w:tc>
        <w:tc>
          <w:tcPr>
            <w:tcW w:w="919" w:type="dxa"/>
            <w:noWrap w:val="0"/>
            <w:vAlign w:val="center"/>
          </w:tcPr>
          <w:p w14:paraId="484EC44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套</w:t>
            </w:r>
          </w:p>
        </w:tc>
        <w:tc>
          <w:tcPr>
            <w:tcW w:w="879" w:type="dxa"/>
            <w:noWrap w:val="0"/>
            <w:vAlign w:val="center"/>
          </w:tcPr>
          <w:p w14:paraId="5F0C720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40</w:t>
            </w:r>
          </w:p>
        </w:tc>
      </w:tr>
      <w:tr w14:paraId="219CF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630" w:type="dxa"/>
            <w:noWrap w:val="0"/>
            <w:vAlign w:val="center"/>
          </w:tcPr>
          <w:p w14:paraId="64804B1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10</w:t>
            </w:r>
          </w:p>
        </w:tc>
        <w:tc>
          <w:tcPr>
            <w:tcW w:w="864" w:type="dxa"/>
            <w:noWrap w:val="0"/>
            <w:vAlign w:val="center"/>
          </w:tcPr>
          <w:p w14:paraId="4662EA7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凭证装订机</w:t>
            </w:r>
          </w:p>
        </w:tc>
        <w:tc>
          <w:tcPr>
            <w:tcW w:w="6657" w:type="dxa"/>
            <w:noWrap w:val="0"/>
            <w:vAlign w:val="center"/>
          </w:tcPr>
          <w:p w14:paraId="3161657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热熔装订机</w:t>
            </w:r>
          </w:p>
          <w:p w14:paraId="0BBD4017">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规格：装订厚度40mm，陶瓷加热技术，自动控温</w:t>
            </w:r>
          </w:p>
          <w:p w14:paraId="29839EE2">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用途：凭证装订及档案整理</w:t>
            </w:r>
          </w:p>
        </w:tc>
        <w:tc>
          <w:tcPr>
            <w:tcW w:w="919" w:type="dxa"/>
            <w:noWrap w:val="0"/>
            <w:vAlign w:val="center"/>
          </w:tcPr>
          <w:p w14:paraId="5AFDFE6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68833E1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5</w:t>
            </w:r>
          </w:p>
        </w:tc>
      </w:tr>
      <w:tr w14:paraId="32AA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2" w:hRule="atLeast"/>
        </w:trPr>
        <w:tc>
          <w:tcPr>
            <w:tcW w:w="630" w:type="dxa"/>
            <w:noWrap w:val="0"/>
            <w:vAlign w:val="center"/>
          </w:tcPr>
          <w:p w14:paraId="56BEBE1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11</w:t>
            </w:r>
          </w:p>
        </w:tc>
        <w:tc>
          <w:tcPr>
            <w:tcW w:w="864" w:type="dxa"/>
            <w:noWrap w:val="0"/>
            <w:vAlign w:val="center"/>
          </w:tcPr>
          <w:p w14:paraId="4991E10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eastAsia="zh-CN"/>
              </w:rPr>
              <w:t>智能助教机器人</w:t>
            </w:r>
          </w:p>
        </w:tc>
        <w:tc>
          <w:tcPr>
            <w:tcW w:w="6657" w:type="dxa"/>
            <w:noWrap w:val="0"/>
            <w:vAlign w:val="center"/>
          </w:tcPr>
          <w:p w14:paraId="04B23A1A">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（一）机器人硬件参数：</w:t>
            </w:r>
          </w:p>
          <w:p w14:paraId="4AD883F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输入方式：语音，触控</w:t>
            </w:r>
          </w:p>
          <w:p w14:paraId="00C7122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CPU：</w:t>
            </w:r>
            <w:r>
              <w:rPr>
                <w:rFonts w:hint="eastAsia" w:ascii="仿宋" w:hAnsi="仿宋" w:eastAsia="仿宋" w:cs="仿宋"/>
                <w:color w:val="auto"/>
                <w:sz w:val="18"/>
                <w:szCs w:val="18"/>
                <w:highlight w:val="none"/>
                <w:lang w:val="en-US" w:eastAsia="zh-CN"/>
              </w:rPr>
              <w:t>性能不低于</w:t>
            </w:r>
            <w:r>
              <w:rPr>
                <w:rFonts w:hint="eastAsia" w:ascii="仿宋" w:hAnsi="仿宋" w:eastAsia="仿宋" w:cs="仿宋"/>
                <w:color w:val="auto"/>
                <w:sz w:val="18"/>
                <w:szCs w:val="18"/>
                <w:highlight w:val="none"/>
              </w:rPr>
              <w:t>RK3399,六核，主频1.8GHz</w:t>
            </w:r>
          </w:p>
          <w:p w14:paraId="7071C84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机身尺寸：46cm*43cm*146cm</w:t>
            </w:r>
          </w:p>
          <w:p w14:paraId="6B06A0C8">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机身重量：35kg</w:t>
            </w:r>
          </w:p>
          <w:p w14:paraId="184E793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5</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屏幕数量：2块</w:t>
            </w:r>
          </w:p>
          <w:p w14:paraId="64B657F1">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6</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屏幕尺寸：表情屏7英寸，显示屏15.6英寸</w:t>
            </w:r>
          </w:p>
          <w:p w14:paraId="394ACF9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7</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触摸屏：电容屏</w:t>
            </w:r>
          </w:p>
          <w:p w14:paraId="017A5D8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触摸屏分辨率：1920*1080</w:t>
            </w:r>
          </w:p>
          <w:p w14:paraId="47662DF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9</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触摸屏屏幕材质：TFT-LCD显示屏</w:t>
            </w:r>
          </w:p>
          <w:p w14:paraId="7986F3BA">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10</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运行内存：4GBRAM</w:t>
            </w:r>
          </w:p>
          <w:p w14:paraId="3268052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11</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机身内存：32G</w:t>
            </w:r>
          </w:p>
          <w:p w14:paraId="707D1650">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12</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Wi-Fi制式：支持2.4G，802.11b/g/n。增加5G模块为：支持2.4G/5G,802.11a/c,802.11b/g/n。</w:t>
            </w:r>
          </w:p>
          <w:p w14:paraId="621254B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13</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蓝牙：BT4.0</w:t>
            </w:r>
          </w:p>
          <w:p w14:paraId="4B95CA1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14</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摄像头：800万像素</w:t>
            </w:r>
          </w:p>
          <w:p w14:paraId="516181F7">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15）</w:t>
            </w:r>
            <w:r>
              <w:rPr>
                <w:rFonts w:hint="eastAsia" w:ascii="仿宋" w:hAnsi="仿宋" w:eastAsia="仿宋" w:cs="仿宋"/>
                <w:color w:val="auto"/>
                <w:sz w:val="18"/>
                <w:szCs w:val="18"/>
                <w:highlight w:val="none"/>
              </w:rPr>
              <w:t>电池类型：锂电</w:t>
            </w:r>
          </w:p>
          <w:p w14:paraId="62163E64">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16</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电池容量：16AH</w:t>
            </w:r>
          </w:p>
          <w:p w14:paraId="63EE413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17）</w:t>
            </w:r>
            <w:r>
              <w:rPr>
                <w:rFonts w:hint="eastAsia" w:ascii="仿宋" w:hAnsi="仿宋" w:eastAsia="仿宋" w:cs="仿宋"/>
                <w:color w:val="auto"/>
                <w:sz w:val="18"/>
                <w:szCs w:val="18"/>
                <w:highlight w:val="none"/>
              </w:rPr>
              <w:t>待机时间：8小时</w:t>
            </w:r>
          </w:p>
          <w:p w14:paraId="7DB7D9BF">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18）</w:t>
            </w:r>
            <w:r>
              <w:rPr>
                <w:rFonts w:hint="eastAsia" w:ascii="仿宋" w:hAnsi="仿宋" w:eastAsia="仿宋" w:cs="仿宋"/>
                <w:color w:val="auto"/>
                <w:sz w:val="18"/>
                <w:szCs w:val="18"/>
                <w:highlight w:val="none"/>
              </w:rPr>
              <w:t>充电桩输入：AC220-240V，5A</w:t>
            </w:r>
          </w:p>
          <w:p w14:paraId="5E6F7B8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19</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充电桩输出：25.2V10AMax</w:t>
            </w:r>
          </w:p>
          <w:p w14:paraId="761F0302">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20</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激光雷达传感器：最大扫描半径25m</w:t>
            </w:r>
          </w:p>
          <w:p w14:paraId="719962D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21）</w:t>
            </w:r>
            <w:r>
              <w:rPr>
                <w:rFonts w:hint="eastAsia" w:ascii="仿宋" w:hAnsi="仿宋" w:eastAsia="仿宋" w:cs="仿宋"/>
                <w:color w:val="auto"/>
                <w:sz w:val="18"/>
                <w:szCs w:val="18"/>
                <w:highlight w:val="none"/>
              </w:rPr>
              <w:t>导航精度：±5cm</w:t>
            </w:r>
          </w:p>
          <w:p w14:paraId="1834B1A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22</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运动参数：最大行走速度0.7m/s</w:t>
            </w:r>
          </w:p>
          <w:p w14:paraId="75715ADD">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备注：为达到良好的交互效果，硬件机器人使用环境需要提供稳定的网速，网速至少在200KB/S以上。</w:t>
            </w:r>
          </w:p>
          <w:p w14:paraId="4B69E317">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（二）硬件机器人终端功能</w:t>
            </w:r>
          </w:p>
          <w:p w14:paraId="07F1500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1）</w:t>
            </w:r>
            <w:r>
              <w:rPr>
                <w:rFonts w:hint="eastAsia" w:ascii="仿宋" w:hAnsi="仿宋" w:eastAsia="仿宋" w:cs="仿宋"/>
                <w:color w:val="auto"/>
                <w:sz w:val="18"/>
                <w:szCs w:val="18"/>
                <w:highlight w:val="none"/>
                <w:lang w:eastAsia="zh-CN"/>
              </w:rPr>
              <w:t>人脸识别</w:t>
            </w:r>
          </w:p>
          <w:p w14:paraId="033C549D">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人脸识别签到：后台可以上传人脸图像，支持通过机器人自带摄像头对班级学生进行人脸识别，并且对师生进行友好欢迎，并引导其和机器人进行语音对话。</w:t>
            </w:r>
          </w:p>
          <w:p w14:paraId="24709065">
            <w:pPr>
              <w:keepNext w:val="0"/>
              <w:keepLines w:val="0"/>
              <w:pageBreakBefore w:val="0"/>
              <w:widowControl w:val="0"/>
              <w:kinsoku/>
              <w:wordWrap/>
              <w:overflowPunct/>
              <w:topLinePunct w:val="0"/>
              <w:bidi w:val="0"/>
              <w:adjustRightInd w:val="0"/>
              <w:snapToGrid w:val="0"/>
              <w:spacing w:line="240" w:lineRule="auto"/>
              <w:ind w:firstLine="360" w:firstLineChars="200"/>
              <w:textAlignment w:val="auto"/>
              <w:rPr>
                <w:rFonts w:hint="eastAsia" w:ascii="仿宋" w:hAnsi="仿宋" w:eastAsia="仿宋" w:cs="仿宋"/>
                <w:color w:val="auto"/>
                <w:sz w:val="18"/>
                <w:szCs w:val="18"/>
                <w:highlight w:val="none"/>
                <w:lang w:eastAsia="zh-CN"/>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2</w:t>
            </w:r>
            <w:r>
              <w:rPr>
                <w:rFonts w:hint="eastAsia" w:ascii="仿宋" w:hAnsi="仿宋" w:eastAsia="仿宋" w:cs="仿宋"/>
                <w:color w:val="auto"/>
                <w:sz w:val="18"/>
                <w:szCs w:val="18"/>
                <w:highlight w:val="none"/>
                <w:lang w:eastAsia="zh-CN"/>
              </w:rPr>
              <w:t>）智能宣讲</w:t>
            </w:r>
          </w:p>
          <w:p w14:paraId="3724CB87">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课前智能宣讲：支持课前根据教师语音或文字指令打开课前预习内容，供学生预习；</w:t>
            </w:r>
          </w:p>
          <w:p w14:paraId="5B504A9A">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智能巡航导览：支持根据设定的地图路线，在不同的定位地点进行语音及图片介绍，帮助学生理解实训内容或引导领导参观学院。</w:t>
            </w:r>
          </w:p>
          <w:p w14:paraId="1EB34D24">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智能引导：可自动识别已录入的人脸，并进行对话；可通过设定的内容和路线作为向导进行介绍。</w:t>
            </w:r>
          </w:p>
          <w:p w14:paraId="6A7A842A">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3</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课堂气氛活跃</w:t>
            </w:r>
          </w:p>
          <w:p w14:paraId="430E7237">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可支持机器人唱歌、颜值检测等功能，帮助活跃课堂气氛，提升学生课堂活跃度以及与机器人助教的互动程度。</w:t>
            </w:r>
          </w:p>
          <w:p w14:paraId="537C4FF2">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lang w:val="en-US" w:eastAsia="zh-CN"/>
              </w:rPr>
              <w:t>4</w:t>
            </w:r>
            <w:r>
              <w:rPr>
                <w:rFonts w:hint="eastAsia" w:ascii="仿宋" w:hAnsi="仿宋" w:eastAsia="仿宋" w:cs="仿宋"/>
                <w:color w:val="auto"/>
                <w:sz w:val="18"/>
                <w:szCs w:val="18"/>
                <w:highlight w:val="none"/>
                <w:lang w:eastAsia="zh-CN"/>
              </w:rPr>
              <w:t>）</w:t>
            </w:r>
            <w:r>
              <w:rPr>
                <w:rFonts w:hint="eastAsia" w:ascii="仿宋" w:hAnsi="仿宋" w:eastAsia="仿宋" w:cs="仿宋"/>
                <w:color w:val="auto"/>
                <w:sz w:val="18"/>
                <w:szCs w:val="18"/>
                <w:highlight w:val="none"/>
              </w:rPr>
              <w:t>其他功能</w:t>
            </w:r>
          </w:p>
          <w:p w14:paraId="36244B6E">
            <w:pPr>
              <w:keepNext w:val="0"/>
              <w:keepLines w:val="0"/>
              <w:pageBreakBefore w:val="0"/>
              <w:widowControl w:val="0"/>
              <w:kinsoku/>
              <w:wordWrap/>
              <w:overflowPunct/>
              <w:topLinePunct w:val="0"/>
              <w:bidi w:val="0"/>
              <w:adjustRightInd w:val="0"/>
              <w:snapToGrid w:val="0"/>
              <w:spacing w:line="240" w:lineRule="auto"/>
              <w:ind w:firstLine="540" w:firstLineChars="300"/>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机器人可支持二维码打印、具备电量低自动回冲的功能，支持导航带路的功能等。</w:t>
            </w:r>
          </w:p>
        </w:tc>
        <w:tc>
          <w:tcPr>
            <w:tcW w:w="919" w:type="dxa"/>
            <w:noWrap w:val="0"/>
            <w:vAlign w:val="center"/>
          </w:tcPr>
          <w:p w14:paraId="58B8CD7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台</w:t>
            </w:r>
          </w:p>
        </w:tc>
        <w:tc>
          <w:tcPr>
            <w:tcW w:w="879" w:type="dxa"/>
            <w:noWrap w:val="0"/>
            <w:vAlign w:val="center"/>
          </w:tcPr>
          <w:p w14:paraId="2E181B7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r w14:paraId="19CA5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0" w:type="dxa"/>
            <w:noWrap w:val="0"/>
            <w:vAlign w:val="center"/>
          </w:tcPr>
          <w:p w14:paraId="1AC0D9C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12</w:t>
            </w:r>
          </w:p>
        </w:tc>
        <w:tc>
          <w:tcPr>
            <w:tcW w:w="864" w:type="dxa"/>
            <w:noWrap w:val="0"/>
            <w:vAlign w:val="center"/>
          </w:tcPr>
          <w:p w14:paraId="2D6BDBE5">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智慧黑板</w:t>
            </w:r>
          </w:p>
        </w:tc>
        <w:tc>
          <w:tcPr>
            <w:tcW w:w="6657" w:type="dxa"/>
            <w:noWrap w:val="0"/>
            <w:vAlign w:val="center"/>
          </w:tcPr>
          <w:p w14:paraId="24A8FD88">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一、显示要求：</w:t>
            </w:r>
          </w:p>
          <w:p w14:paraId="3ADE131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1、显示尺寸：≥86英寸，采用LED背光源A规屏。</w:t>
            </w:r>
          </w:p>
          <w:p w14:paraId="55071E2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2、显示分辨率：3840(H)×2160(V)；屏幕亮度：≥350 cd/m2；对比度：1200：1；可视角度：≥178°；</w:t>
            </w:r>
          </w:p>
          <w:p w14:paraId="5DA96345">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3、整机最大功率≤300W,待机功耗≤1W；</w:t>
            </w:r>
          </w:p>
          <w:p w14:paraId="16B76E6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4、支持4K超高清（QFHD/3840x2160）信号输入输出、四核安卓网络液晶屏驱动主板，支持V-BY-ONE 60HZ 接口/LVDS接口的液晶屏，支持液晶屏分辨率可高达3840 x 2160。</w:t>
            </w:r>
          </w:p>
          <w:p w14:paraId="0B6EA9C8">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二、整机要求：</w:t>
            </w:r>
          </w:p>
          <w:p w14:paraId="62795CA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1、具有MIC*1，VGA输入*1，Audio *1，RJ45*1, Earphone*1，USB2.0*3，USB3.0*2，HDMI*2， RS232*1，双系统共用USB*2， USB触摸端口*2，视频输入PC-RGB*1、视频输出PC-RGB*1；</w:t>
            </w:r>
          </w:p>
          <w:p w14:paraId="2CAC9DC0">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2、整机尺寸: 4208.5*1205.6*116.3mm；</w:t>
            </w:r>
          </w:p>
          <w:p w14:paraId="55BCFE7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3、高触控纳米触控，通过插值算法得到的分辩率可高32767*32767；支持普通粉笔、无尘粉笔、水笔和手指触摸；最高选择支持 30 点触控；HID免驱；响应时间≤8ms；</w:t>
            </w:r>
          </w:p>
          <w:p w14:paraId="40549D2D">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w:t>
            </w:r>
            <w:r>
              <w:rPr>
                <w:rFonts w:hint="eastAsia" w:ascii="仿宋" w:hAnsi="仿宋" w:eastAsia="仿宋" w:cs="仿宋"/>
                <w:color w:val="auto"/>
                <w:kern w:val="0"/>
                <w:sz w:val="18"/>
                <w:szCs w:val="18"/>
                <w:highlight w:val="none"/>
              </w:rPr>
              <w:t>搭配PC主板做双系统一体机时，触摸框可在双系统间无缝切换；</w:t>
            </w:r>
            <w:r>
              <w:rPr>
                <w:rFonts w:hint="eastAsia" w:ascii="仿宋" w:hAnsi="仿宋" w:eastAsia="仿宋" w:cs="仿宋"/>
                <w:color w:val="auto"/>
                <w:sz w:val="18"/>
                <w:szCs w:val="18"/>
                <w:highlight w:val="none"/>
              </w:rPr>
              <w:t xml:space="preserve"> </w:t>
            </w:r>
          </w:p>
          <w:p w14:paraId="4D53B5E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5、视频解码：支持NTSC M, NTSC-J, NTSC-4.43, PAL(B,D,G,H,M,N,I,Nc)，SECAM；视频部分支持三路HDMI输入；三路USB2.0输入，1路VGA输入；一路R232控制输入；</w:t>
            </w:r>
          </w:p>
          <w:p w14:paraId="29D0448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6、为了降低机械故障率，前置物理按键不多于两个按键且具有一键关机功能，开关机按键要求双色灯指示易识别开关机状态。</w:t>
            </w:r>
          </w:p>
          <w:p w14:paraId="78C7FC98">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三、系统性能及功能要求：</w:t>
            </w:r>
          </w:p>
          <w:p w14:paraId="5914D25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1、系统同步开关机；</w:t>
            </w:r>
          </w:p>
          <w:p w14:paraId="6E44B15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w:t>
            </w:r>
            <w:r>
              <w:rPr>
                <w:rFonts w:hint="eastAsia" w:ascii="仿宋" w:hAnsi="仿宋" w:eastAsia="仿宋" w:cs="仿宋"/>
                <w:color w:val="auto"/>
                <w:kern w:val="0"/>
                <w:sz w:val="18"/>
                <w:szCs w:val="18"/>
                <w:highlight w:val="none"/>
              </w:rPr>
              <w:t>支持麦克风功能。可外接一路麦克风语音输入;支持串口控制功能，串口远程控制常用功能；</w:t>
            </w:r>
          </w:p>
          <w:p w14:paraId="00BACEF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w:t>
            </w:r>
            <w:r>
              <w:rPr>
                <w:rFonts w:hint="eastAsia" w:ascii="仿宋" w:hAnsi="仿宋" w:eastAsia="仿宋" w:cs="仿宋"/>
                <w:color w:val="auto"/>
                <w:kern w:val="0"/>
                <w:sz w:val="18"/>
                <w:szCs w:val="18"/>
                <w:highlight w:val="none"/>
              </w:rPr>
              <w:t>支持主板温度监测功能，实时监测主板工作温度，让您用的放心；</w:t>
            </w:r>
          </w:p>
          <w:p w14:paraId="0FE5791F">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w:t>
            </w:r>
            <w:r>
              <w:rPr>
                <w:rFonts w:hint="eastAsia" w:ascii="仿宋" w:hAnsi="仿宋" w:eastAsia="仿宋" w:cs="仿宋"/>
                <w:color w:val="auto"/>
                <w:kern w:val="0"/>
                <w:sz w:val="18"/>
                <w:szCs w:val="18"/>
                <w:highlight w:val="none"/>
              </w:rPr>
              <w:t>支持手势下拉导航栏：可一键呼出常用功能快捷键，一键批注，一键切换，一键节能，一键半屏。具有智能手势识别功能：一指书写，二指截屏，三指悬浮菜单跟随，四指半屏显示，五指息屏等功能；</w:t>
            </w:r>
          </w:p>
          <w:p w14:paraId="6F4CDE39">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kern w:val="0"/>
                <w:sz w:val="18"/>
                <w:szCs w:val="18"/>
                <w:highlight w:val="none"/>
              </w:rPr>
              <w:t>5、可自定义修改通道名称；</w:t>
            </w:r>
          </w:p>
          <w:p w14:paraId="49B885E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6、副屏书写板面采用黑色磁性金属面板，具备磁吸附功能；</w:t>
            </w:r>
          </w:p>
          <w:p w14:paraId="5F08685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7、整机平均无故障率（MTBF）不低于200000小时；</w:t>
            </w:r>
          </w:p>
          <w:p w14:paraId="20F55E9F">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w:t>
            </w:r>
            <w:r>
              <w:rPr>
                <w:rFonts w:hint="eastAsia" w:ascii="仿宋" w:hAnsi="仿宋" w:eastAsia="仿宋" w:cs="仿宋"/>
                <w:color w:val="auto"/>
                <w:kern w:val="0"/>
                <w:sz w:val="18"/>
                <w:szCs w:val="18"/>
                <w:highlight w:val="none"/>
              </w:rPr>
              <w:t>安卓系统，采用</w:t>
            </w:r>
            <w:r>
              <w:rPr>
                <w:rFonts w:hint="eastAsia" w:ascii="仿宋" w:hAnsi="仿宋" w:eastAsia="仿宋" w:cs="仿宋"/>
                <w:color w:val="auto"/>
                <w:kern w:val="0"/>
                <w:sz w:val="18"/>
                <w:szCs w:val="18"/>
                <w:highlight w:val="none"/>
                <w:lang w:val="en-US" w:eastAsia="zh-CN"/>
              </w:rPr>
              <w:t>不低于</w:t>
            </w:r>
            <w:r>
              <w:rPr>
                <w:rFonts w:hint="eastAsia" w:ascii="仿宋" w:hAnsi="仿宋" w:eastAsia="仿宋" w:cs="仿宋"/>
                <w:color w:val="auto"/>
                <w:kern w:val="0"/>
                <w:sz w:val="18"/>
                <w:szCs w:val="18"/>
                <w:highlight w:val="none"/>
              </w:rPr>
              <w:t>64位（CPU）ARMCortex-A53四核</w:t>
            </w:r>
            <w:r>
              <w:rPr>
                <w:rFonts w:hint="eastAsia" w:ascii="仿宋" w:hAnsi="仿宋" w:eastAsia="仿宋" w:cs="仿宋"/>
                <w:color w:val="auto"/>
                <w:kern w:val="0"/>
                <w:sz w:val="18"/>
                <w:szCs w:val="18"/>
                <w:highlight w:val="none"/>
                <w:lang w:val="en-US" w:eastAsia="zh-CN"/>
              </w:rPr>
              <w:t>处理器</w:t>
            </w:r>
            <w:r>
              <w:rPr>
                <w:rFonts w:hint="eastAsia" w:ascii="仿宋" w:hAnsi="仿宋" w:eastAsia="仿宋" w:cs="仿宋"/>
                <w:color w:val="auto"/>
                <w:kern w:val="0"/>
                <w:sz w:val="18"/>
                <w:szCs w:val="18"/>
                <w:highlight w:val="none"/>
              </w:rPr>
              <w:t>，主频</w:t>
            </w:r>
            <w:r>
              <w:rPr>
                <w:rFonts w:hint="eastAsia" w:ascii="仿宋" w:hAnsi="仿宋" w:eastAsia="仿宋" w:cs="仿宋"/>
                <w:color w:val="auto"/>
                <w:kern w:val="0"/>
                <w:sz w:val="18"/>
                <w:szCs w:val="18"/>
                <w:highlight w:val="none"/>
                <w:lang w:val="en-US" w:eastAsia="zh-CN"/>
              </w:rPr>
              <w:t>不低于</w:t>
            </w:r>
            <w:r>
              <w:rPr>
                <w:rFonts w:hint="eastAsia" w:ascii="仿宋" w:hAnsi="仿宋" w:eastAsia="仿宋" w:cs="仿宋"/>
                <w:color w:val="auto"/>
                <w:kern w:val="0"/>
                <w:sz w:val="18"/>
                <w:szCs w:val="18"/>
                <w:highlight w:val="none"/>
              </w:rPr>
              <w:t>1.5G，（GPU）</w:t>
            </w:r>
            <w:r>
              <w:rPr>
                <w:rFonts w:hint="eastAsia" w:ascii="仿宋" w:hAnsi="仿宋" w:eastAsia="仿宋" w:cs="仿宋"/>
                <w:color w:val="auto"/>
                <w:kern w:val="0"/>
                <w:sz w:val="18"/>
                <w:szCs w:val="18"/>
                <w:highlight w:val="none"/>
                <w:lang w:val="en-US" w:eastAsia="zh-CN"/>
              </w:rPr>
              <w:t>不低于</w:t>
            </w:r>
            <w:r>
              <w:rPr>
                <w:rFonts w:hint="eastAsia" w:ascii="仿宋" w:hAnsi="仿宋" w:eastAsia="仿宋" w:cs="仿宋"/>
                <w:color w:val="auto"/>
                <w:kern w:val="0"/>
                <w:sz w:val="18"/>
                <w:szCs w:val="18"/>
                <w:highlight w:val="none"/>
              </w:rPr>
              <w:t>双核Mali-720MP MP2；运行内存（RAM）2G（DDR4）；（ROM）32G 高速存储内存(EMMC5.1)；采用Android 6.0</w:t>
            </w:r>
            <w:r>
              <w:rPr>
                <w:rFonts w:hint="eastAsia" w:ascii="仿宋" w:hAnsi="仿宋" w:eastAsia="仿宋" w:cs="仿宋"/>
                <w:color w:val="auto"/>
                <w:kern w:val="0"/>
                <w:sz w:val="18"/>
                <w:szCs w:val="18"/>
                <w:highlight w:val="none"/>
                <w:lang w:val="en-US" w:eastAsia="zh-CN"/>
              </w:rPr>
              <w:t>或类似</w:t>
            </w:r>
            <w:r>
              <w:rPr>
                <w:rFonts w:hint="eastAsia" w:ascii="仿宋" w:hAnsi="仿宋" w:eastAsia="仿宋" w:cs="仿宋"/>
                <w:color w:val="auto"/>
                <w:kern w:val="0"/>
                <w:sz w:val="18"/>
                <w:szCs w:val="18"/>
                <w:highlight w:val="none"/>
              </w:rPr>
              <w:t>操作系统，可添加APP 应用和下载APK 软件；内置8G存储空间，支持office</w:t>
            </w:r>
            <w:r>
              <w:rPr>
                <w:rFonts w:hint="eastAsia" w:ascii="仿宋" w:hAnsi="仿宋" w:eastAsia="仿宋" w:cs="仿宋"/>
                <w:color w:val="auto"/>
                <w:kern w:val="0"/>
                <w:sz w:val="18"/>
                <w:szCs w:val="18"/>
                <w:highlight w:val="none"/>
                <w:lang w:val="en-US" w:eastAsia="zh-CN"/>
              </w:rPr>
              <w:t>或WPS等</w:t>
            </w:r>
            <w:r>
              <w:rPr>
                <w:rFonts w:hint="eastAsia" w:ascii="仿宋" w:hAnsi="仿宋" w:eastAsia="仿宋" w:cs="仿宋"/>
                <w:color w:val="auto"/>
                <w:kern w:val="0"/>
                <w:sz w:val="18"/>
                <w:szCs w:val="18"/>
                <w:highlight w:val="none"/>
              </w:rPr>
              <w:t>办公软件的操作；</w:t>
            </w:r>
          </w:p>
          <w:p w14:paraId="07E20BB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sz w:val="18"/>
                <w:szCs w:val="18"/>
                <w:highlight w:val="none"/>
              </w:rPr>
              <w:t>9、</w:t>
            </w:r>
            <w:r>
              <w:rPr>
                <w:rFonts w:hint="eastAsia" w:ascii="仿宋" w:hAnsi="仿宋" w:eastAsia="仿宋" w:cs="仿宋"/>
                <w:color w:val="auto"/>
                <w:kern w:val="0"/>
                <w:sz w:val="18"/>
                <w:szCs w:val="18"/>
                <w:highlight w:val="none"/>
              </w:rPr>
              <w:t>支持WIFI无线连接和网口有线连接。有线网络支持网口路由共享网络功能，支持有线网络输入环出。</w:t>
            </w:r>
          </w:p>
          <w:p w14:paraId="38C901C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10、自带无线传输播放视频图片；</w:t>
            </w:r>
          </w:p>
          <w:p w14:paraId="5C44C95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11、USB可直接支持U盘播放超高清3840*2160视频；4K视频解码支持H.265格式。USB可连接无线鼠标和键盘，可作大容量移动硬盘连接；</w:t>
            </w:r>
          </w:p>
          <w:p w14:paraId="4CF8A0B8">
            <w:pPr>
              <w:keepNext w:val="0"/>
              <w:keepLines w:val="0"/>
              <w:pageBreakBefore w:val="0"/>
              <w:widowControl w:val="0"/>
              <w:kinsoku/>
              <w:wordWrap/>
              <w:overflowPunct/>
              <w:topLinePunct w:val="0"/>
              <w:autoSpaceDE w:val="0"/>
              <w:autoSpaceDN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12、支持多点触摸屏，搭配PC主板做双系统一体机时，触摸框可在双系统间无缝切换；在安卓界面时可侦测PC主板开关机状态，从而遥控/触摸控制电脑开关机。兼容多种触摸框接法，可适配各种单/双接口红外触摸框/电容触摸框配合做双系统切换功能。</w:t>
            </w:r>
          </w:p>
          <w:p w14:paraId="441B46D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四、</w:t>
            </w:r>
            <w:r>
              <w:rPr>
                <w:rFonts w:hint="eastAsia" w:ascii="仿宋" w:hAnsi="仿宋" w:eastAsia="仿宋" w:cs="仿宋"/>
                <w:b/>
                <w:color w:val="auto"/>
                <w:sz w:val="18"/>
                <w:szCs w:val="18"/>
                <w:highlight w:val="none"/>
                <w:lang w:val="en-US" w:eastAsia="zh-CN"/>
              </w:rPr>
              <w:t>处理器</w:t>
            </w:r>
            <w:r>
              <w:rPr>
                <w:rFonts w:hint="eastAsia" w:ascii="仿宋" w:hAnsi="仿宋" w:eastAsia="仿宋" w:cs="仿宋"/>
                <w:b/>
                <w:color w:val="auto"/>
                <w:sz w:val="18"/>
                <w:szCs w:val="18"/>
                <w:highlight w:val="none"/>
              </w:rPr>
              <w:t>配置：</w:t>
            </w:r>
          </w:p>
          <w:p w14:paraId="03B577D0">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1、低功耗主板，</w:t>
            </w:r>
            <w:r>
              <w:rPr>
                <w:rFonts w:hint="eastAsia" w:ascii="仿宋" w:hAnsi="仿宋" w:eastAsia="仿宋" w:cs="仿宋"/>
                <w:color w:val="auto"/>
                <w:sz w:val="18"/>
                <w:szCs w:val="18"/>
                <w:highlight w:val="none"/>
                <w:lang w:val="en-US" w:eastAsia="zh-CN"/>
              </w:rPr>
              <w:t>处理器为近五年上市产品</w:t>
            </w:r>
            <w:r>
              <w:rPr>
                <w:rFonts w:hint="eastAsia" w:ascii="仿宋" w:hAnsi="仿宋" w:eastAsia="仿宋" w:cs="仿宋"/>
                <w:color w:val="auto"/>
                <w:sz w:val="18"/>
                <w:szCs w:val="18"/>
                <w:highlight w:val="none"/>
              </w:rPr>
              <w:t>，内存≥</w:t>
            </w:r>
            <w:r>
              <w:rPr>
                <w:rFonts w:hint="eastAsia" w:ascii="仿宋" w:hAnsi="仿宋" w:eastAsia="仿宋" w:cs="仿宋"/>
                <w:color w:val="auto"/>
                <w:sz w:val="18"/>
                <w:szCs w:val="18"/>
                <w:highlight w:val="none"/>
                <w:lang w:val="en-US" w:eastAsia="zh-CN"/>
              </w:rPr>
              <w:t>8</w:t>
            </w:r>
            <w:r>
              <w:rPr>
                <w:rFonts w:hint="eastAsia" w:ascii="仿宋" w:hAnsi="仿宋" w:eastAsia="仿宋" w:cs="仿宋"/>
                <w:color w:val="auto"/>
                <w:sz w:val="18"/>
                <w:szCs w:val="18"/>
                <w:highlight w:val="none"/>
              </w:rPr>
              <w:t>G，硬盘≥</w:t>
            </w:r>
            <w:r>
              <w:rPr>
                <w:rFonts w:hint="eastAsia" w:ascii="仿宋" w:hAnsi="仿宋" w:eastAsia="仿宋" w:cs="仿宋"/>
                <w:color w:val="auto"/>
                <w:sz w:val="18"/>
                <w:szCs w:val="18"/>
                <w:highlight w:val="none"/>
                <w:lang w:val="en-US" w:eastAsia="zh-CN"/>
              </w:rPr>
              <w:t>240</w:t>
            </w:r>
            <w:r>
              <w:rPr>
                <w:rFonts w:hint="eastAsia" w:ascii="仿宋" w:hAnsi="仿宋" w:eastAsia="仿宋" w:cs="仿宋"/>
                <w:color w:val="auto"/>
                <w:sz w:val="18"/>
                <w:szCs w:val="18"/>
                <w:highlight w:val="none"/>
              </w:rPr>
              <w:t>G；</w:t>
            </w:r>
          </w:p>
          <w:p w14:paraId="791381E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2、模块化OPS主机采用插拔式结构，内部</w:t>
            </w:r>
            <w:r>
              <w:rPr>
                <w:rFonts w:hint="eastAsia" w:ascii="仿宋" w:hAnsi="仿宋" w:eastAsia="仿宋" w:cs="仿宋"/>
                <w:color w:val="auto"/>
                <w:sz w:val="18"/>
                <w:szCs w:val="18"/>
                <w:highlight w:val="none"/>
                <w:lang w:val="en-US" w:eastAsia="zh-CN"/>
              </w:rPr>
              <w:t>ops通用</w:t>
            </w:r>
            <w:r>
              <w:rPr>
                <w:rFonts w:hint="eastAsia" w:ascii="仿宋" w:hAnsi="仿宋" w:eastAsia="仿宋" w:cs="仿宋"/>
                <w:color w:val="auto"/>
                <w:sz w:val="18"/>
                <w:szCs w:val="18"/>
                <w:highlight w:val="none"/>
              </w:rPr>
              <w:t>标准80pin接口（</w:t>
            </w:r>
            <w:r>
              <w:rPr>
                <w:rFonts w:hint="eastAsia" w:ascii="仿宋" w:hAnsi="仿宋" w:eastAsia="仿宋" w:cs="仿宋"/>
                <w:color w:val="auto"/>
                <w:sz w:val="18"/>
                <w:szCs w:val="18"/>
                <w:highlight w:val="none"/>
                <w:shd w:val="clear" w:color="auto" w:fill="FFFFFF"/>
              </w:rPr>
              <w:t>拒绝厂商专有接口</w:t>
            </w:r>
            <w:r>
              <w:rPr>
                <w:rFonts w:hint="eastAsia" w:ascii="仿宋" w:hAnsi="仿宋" w:eastAsia="仿宋" w:cs="仿宋"/>
                <w:color w:val="auto"/>
                <w:sz w:val="18"/>
                <w:szCs w:val="18"/>
                <w:highlight w:val="none"/>
              </w:rPr>
              <w:t>），无任何外接电源线和信号线，方便检测维护；</w:t>
            </w:r>
          </w:p>
          <w:p w14:paraId="1D9D956F">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3、输入：USB接口≥6，其中USB3.0接口≥2；输出：HDMI≥1，VGA≥1，RS232≥，RJ45≥1且须具有WI-FI模块。</w:t>
            </w:r>
          </w:p>
          <w:p w14:paraId="61538228">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b/>
                <w:color w:val="auto"/>
                <w:sz w:val="18"/>
                <w:szCs w:val="18"/>
                <w:highlight w:val="none"/>
              </w:rPr>
            </w:pPr>
            <w:r>
              <w:rPr>
                <w:rFonts w:hint="eastAsia" w:ascii="仿宋" w:hAnsi="仿宋" w:eastAsia="仿宋" w:cs="仿宋"/>
                <w:b/>
                <w:color w:val="auto"/>
                <w:sz w:val="18"/>
                <w:szCs w:val="18"/>
                <w:highlight w:val="none"/>
              </w:rPr>
              <w:t>五、 配套软件功能：</w:t>
            </w:r>
          </w:p>
          <w:p w14:paraId="12076C3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1.专业教学软件：集合白板软件、实物展台软件、移动授课软件为一体,一键切换,拒绝第三方授课软件；</w:t>
            </w:r>
          </w:p>
          <w:p w14:paraId="0665B1B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2.授课模式：包含最少4种授课模式（编辑模式（备课模式）、全屏模式（授课模式）、标注模式、PPT上课模式）；</w:t>
            </w:r>
          </w:p>
          <w:p w14:paraId="0B47ECC8">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3.互动教学课堂功能：具有远程授课功能可多台设备交互教学，老师可创建课堂，学生加入课堂后进行互动教学，老师在创建课堂的白板上面操作的时候，操作数据会发送到学生端并且可以邀请学生发言。学生可以在自己的电脑上面操作，操作的内容会发布到老师和其他的学生端实现互动课堂；</w:t>
            </w:r>
          </w:p>
          <w:p w14:paraId="44F87C37">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4.编辑模式工具栏自定义：可随意调节工具栏、资源库的位置和顺序；</w:t>
            </w:r>
          </w:p>
          <w:p w14:paraId="2BA6447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5.软件界面换肤功能：包含最少5种主题皮肤（灰白、淡蓝、粉红、黑色、橙色、淡绿）；</w:t>
            </w:r>
          </w:p>
          <w:p w14:paraId="4A6008B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6.画笔功能：包含最少9种笔工具（铅笔、软笔、毛笔、荧光笔（半透明笔）、纹理笔、排笔、智能笔、对象笔、双笔）； </w:t>
            </w:r>
          </w:p>
          <w:p w14:paraId="40442F84">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7.橡皮擦功能：包含最少5种擦除功能（对象擦、位图擦（可精确擦除画线边角）、图片擦、清除页面和手势擦除）；</w:t>
            </w:r>
          </w:p>
          <w:p w14:paraId="53050103">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8.手势识别：包含双指漫游、双指缩放对象、双指旋转对象、自动识别擦除宽度、自动识别擦除手势；包含单指触控、双指截屏、三指调取悬浮图标、四指半屏显示、五指息屏；</w:t>
            </w:r>
          </w:p>
          <w:p w14:paraId="15AC949F">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9.画笔自动修正功能：能修正直线、正圆、椭圆、矩形、三角形和多边形等图形；</w:t>
            </w:r>
          </w:p>
          <w:p w14:paraId="43A7B969">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10.双笔多颜色书写：支持同一页面下，双笔同时书写，并体现为不同颜色；</w:t>
            </w:r>
          </w:p>
          <w:p w14:paraId="378701AB">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11.插入表格功能：合并单元格、拆分行、拆分列、插入行、插入列、删除行、删除列；</w:t>
            </w:r>
          </w:p>
          <w:p w14:paraId="76D42796">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12.屏幕录制功能：可在白板软件中全屏幕或任意选择区域录制，并可借助麦克风将声音同步录制，录制后的微课视频可一键导出至教学白板软件或另存本地；</w:t>
            </w:r>
          </w:p>
          <w:p w14:paraId="4499CDAF">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13.文件导入格式：支持不少于7种格式导入（jpg、png、bmp、ppt、pptx、doc、docx）；</w:t>
            </w:r>
          </w:p>
          <w:p w14:paraId="498078C0">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14.文件导出格式：支持不少于5种格式导出（png、jpg、bmp、pdf、doc）；</w:t>
            </w:r>
          </w:p>
          <w:p w14:paraId="0E5EEB5A">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15.远程课堂：创建课堂、加入课堂、邀请发言、结束发言；</w:t>
            </w:r>
          </w:p>
          <w:p w14:paraId="58E08F6F">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16.视频批注：支持插入多个视频对象，视频对象旋转，在视频动态状态下，支持画笔、图形、图片、文字等对象标注，拒绝第三方软件； </w:t>
            </w:r>
          </w:p>
          <w:p w14:paraId="3C742F4C">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17.智能互动功能：在电子白板软件中，只需通过手机扫描白板生成的二维码连接白板，手机上就可显示白板中的画面，可支持以下几个功能；1）通过手机可以控制白板书写2）手势翻页，3）手机拍照发送到白板，方便拍照学生作业显示到白板上，4）手机录像传输到白板上。</w:t>
            </w:r>
          </w:p>
        </w:tc>
        <w:tc>
          <w:tcPr>
            <w:tcW w:w="919" w:type="dxa"/>
            <w:noWrap w:val="0"/>
            <w:vAlign w:val="center"/>
          </w:tcPr>
          <w:p w14:paraId="1B6ABDB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套</w:t>
            </w:r>
          </w:p>
        </w:tc>
        <w:tc>
          <w:tcPr>
            <w:tcW w:w="879" w:type="dxa"/>
            <w:noWrap w:val="0"/>
            <w:vAlign w:val="center"/>
          </w:tcPr>
          <w:p w14:paraId="1236E37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r>
      <w:tr w14:paraId="3ACD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0" w:type="dxa"/>
            <w:noWrap w:val="0"/>
            <w:vAlign w:val="center"/>
          </w:tcPr>
          <w:p w14:paraId="3ED3A0B2">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13</w:t>
            </w:r>
          </w:p>
        </w:tc>
        <w:tc>
          <w:tcPr>
            <w:tcW w:w="864" w:type="dxa"/>
            <w:noWrap w:val="0"/>
            <w:vAlign w:val="center"/>
          </w:tcPr>
          <w:p w14:paraId="16DB1FF0">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布线、辅材</w:t>
            </w:r>
          </w:p>
        </w:tc>
        <w:tc>
          <w:tcPr>
            <w:tcW w:w="6657" w:type="dxa"/>
            <w:noWrap w:val="0"/>
            <w:vAlign w:val="center"/>
          </w:tcPr>
          <w:p w14:paraId="72EF33D6">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rPr>
            </w:pPr>
            <w:r>
              <w:rPr>
                <w:rFonts w:hint="eastAsia" w:ascii="仿宋" w:hAnsi="仿宋" w:eastAsia="仿宋" w:cs="仿宋"/>
                <w:bCs/>
                <w:color w:val="auto"/>
                <w:kern w:val="0"/>
                <w:sz w:val="18"/>
                <w:szCs w:val="18"/>
                <w:highlight w:val="none"/>
              </w:rPr>
              <w:t>网线、电源线、视频线、电源插排、音频线；各种接头等材质不低于国标，实验室整体设计必须符合会计专业文化氛围。</w:t>
            </w:r>
          </w:p>
        </w:tc>
        <w:tc>
          <w:tcPr>
            <w:tcW w:w="919" w:type="dxa"/>
            <w:noWrap w:val="0"/>
            <w:vAlign w:val="center"/>
          </w:tcPr>
          <w:p w14:paraId="133C825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批</w:t>
            </w:r>
          </w:p>
        </w:tc>
        <w:tc>
          <w:tcPr>
            <w:tcW w:w="879" w:type="dxa"/>
            <w:noWrap w:val="0"/>
            <w:vAlign w:val="center"/>
          </w:tcPr>
          <w:p w14:paraId="0F5BBA0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1</w:t>
            </w:r>
          </w:p>
        </w:tc>
      </w:tr>
      <w:tr w14:paraId="3CF4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rPr>
        <w:tc>
          <w:tcPr>
            <w:tcW w:w="630" w:type="dxa"/>
            <w:noWrap w:val="0"/>
            <w:vAlign w:val="center"/>
          </w:tcPr>
          <w:p w14:paraId="0C4107EE">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14</w:t>
            </w:r>
          </w:p>
        </w:tc>
        <w:tc>
          <w:tcPr>
            <w:tcW w:w="864" w:type="dxa"/>
            <w:noWrap w:val="0"/>
            <w:vAlign w:val="center"/>
          </w:tcPr>
          <w:p w14:paraId="13F03055">
            <w:pPr>
              <w:keepNext w:val="0"/>
              <w:keepLines w:val="0"/>
              <w:pageBreakBefore w:val="0"/>
              <w:widowControl w:val="0"/>
              <w:kinsoku/>
              <w:wordWrap/>
              <w:overflowPunct/>
              <w:topLinePunct w:val="0"/>
              <w:bidi w:val="0"/>
              <w:adjustRightInd w:val="0"/>
              <w:snapToGrid w:val="0"/>
              <w:spacing w:line="240" w:lineRule="auto"/>
              <w:jc w:val="left"/>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环境布置</w:t>
            </w:r>
          </w:p>
        </w:tc>
        <w:tc>
          <w:tcPr>
            <w:tcW w:w="6657" w:type="dxa"/>
            <w:noWrap w:val="0"/>
            <w:vAlign w:val="center"/>
          </w:tcPr>
          <w:p w14:paraId="5A4578F4">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一、教室内墙面出新</w:t>
            </w:r>
          </w:p>
          <w:p w14:paraId="2D1DC4F5">
            <w:pPr>
              <w:keepNext w:val="0"/>
              <w:keepLines w:val="0"/>
              <w:pageBreakBefore w:val="0"/>
              <w:widowControl w:val="0"/>
              <w:kinsoku/>
              <w:wordWrap/>
              <w:overflowPunct/>
              <w:topLinePunct w:val="0"/>
              <w:bidi w:val="0"/>
              <w:adjustRightInd w:val="0"/>
              <w:snapToGrid w:val="0"/>
              <w:spacing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1、面积：252.46m</w:t>
            </w:r>
            <w:r>
              <w:rPr>
                <w:rFonts w:hint="eastAsia" w:ascii="仿宋" w:hAnsi="仿宋" w:eastAsia="仿宋" w:cs="仿宋"/>
                <w:bCs/>
                <w:color w:val="auto"/>
                <w:kern w:val="0"/>
                <w:sz w:val="18"/>
                <w:szCs w:val="18"/>
                <w:highlight w:val="none"/>
                <w:vertAlign w:val="superscript"/>
                <w:lang w:val="en-US" w:eastAsia="zh-CN"/>
              </w:rPr>
              <w:t>2</w:t>
            </w:r>
          </w:p>
          <w:p w14:paraId="2FE5900C">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2、材料：白色内墙乳胶漆</w:t>
            </w:r>
          </w:p>
          <w:p w14:paraId="06C73D17">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bCs/>
                <w:color w:val="auto"/>
                <w:kern w:val="0"/>
                <w:sz w:val="18"/>
                <w:szCs w:val="18"/>
                <w:highlight w:val="none"/>
                <w:lang w:val="en-US" w:eastAsia="zh-CN"/>
              </w:rPr>
            </w:pPr>
            <w:r>
              <w:rPr>
                <w:rFonts w:hint="eastAsia" w:ascii="仿宋" w:hAnsi="仿宋" w:eastAsia="仿宋" w:cs="仿宋"/>
                <w:bCs/>
                <w:color w:val="auto"/>
                <w:kern w:val="0"/>
                <w:sz w:val="18"/>
                <w:szCs w:val="18"/>
                <w:highlight w:val="none"/>
                <w:lang w:val="en-US" w:eastAsia="zh-CN"/>
              </w:rPr>
              <w:t>二、吊顶（含照明设备）：顶面尺寸11*9.75米+8.24*9.75米。</w:t>
            </w:r>
          </w:p>
          <w:p w14:paraId="5DE16CFE">
            <w:pPr>
              <w:pStyle w:val="7"/>
              <w:keepNext w:val="0"/>
              <w:keepLines w:val="0"/>
              <w:pageBreakBefore w:val="0"/>
              <w:widowControl w:val="0"/>
              <w:kinsoku/>
              <w:wordWrap/>
              <w:overflowPunct/>
              <w:topLinePunct w:val="0"/>
              <w:bidi w:val="0"/>
              <w:adjustRightInd w:val="0"/>
              <w:snapToGrid w:val="0"/>
              <w:spacing w:after="0"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（一）吊顶基础构造（轻钢龙骨框架） </w:t>
            </w:r>
          </w:p>
          <w:p w14:paraId="2D0A005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1. 龙骨规格与布局</w:t>
            </w:r>
          </w:p>
          <w:p w14:paraId="388B59F4">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主龙骨：选用U50轻钢龙骨，间距800mm（沿教室短边方向布置，增强抗变形能力），吊杆采用φ8mm膨胀螺栓固定于楼板，吊杆间距同主龙骨，距墙≤300mm，确保框架承重稳定。</w:t>
            </w:r>
          </w:p>
          <w:p w14:paraId="4EFC52B4">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副龙骨：C50轻钢龙骨，垂直主龙骨排列，间距400mm（适配铝塑板尺寸，保证面板固定牢固）。</w:t>
            </w:r>
          </w:p>
          <w:p w14:paraId="333BD82B">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边龙骨：L型轻钢龙骨，用射钉固定于墙面（间距500mm），收边找平，吊顶高度建议2.8-3.0m（保证空间通透，避免压抑）。</w:t>
            </w:r>
          </w:p>
          <w:p w14:paraId="06D6DD4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2. 铝塑板选用与安装</w:t>
            </w:r>
          </w:p>
          <w:p w14:paraId="7B2CF667">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面板：4mm厚防火铝塑板（表面选哑光白色，减少反光），按600×1200mm切割，背面刷防火胶，用自攻螺丝（配防腐垫片）固定于副龙骨，板缝留5mm（填白色密封胶，防积灰）。</w:t>
            </w:r>
          </w:p>
          <w:p w14:paraId="0C6D922B">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特殊处理：若顶面有管线或梁体，局部随结构微调高度，保持整体平整；预留检修口（300×300mm，对应灯具、管线集中区域）。 </w:t>
            </w:r>
          </w:p>
          <w:p w14:paraId="108D6BB0">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（二）照明布置（满足教学用光标准） </w:t>
            </w:r>
          </w:p>
          <w:p w14:paraId="2A317389">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 核心参数要求 </w:t>
            </w:r>
          </w:p>
          <w:p w14:paraId="617651AF">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照度：课桌面维持平均照度≥300lx，黑板区≥500lx（符合《中小学校教室采光和照明卫生标准》）。</w:t>
            </w:r>
          </w:p>
          <w:p w14:paraId="1633C398">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色温：4000K中性光（减少视觉疲劳，适合长时间阅读书写）。</w:t>
            </w:r>
          </w:p>
          <w:p w14:paraId="3C84F61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眩光：灯具采用防眩设计（眩光值UGR≤19），避免直射学生眼睛。 </w:t>
            </w:r>
          </w:p>
          <w:p w14:paraId="60642A22">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2. 灯具布局 </w:t>
            </w:r>
          </w:p>
          <w:p w14:paraId="475EB7CB">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课桌椅区域：</w:t>
            </w:r>
          </w:p>
          <w:p w14:paraId="2F0AF790">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选用300×1200mm嵌入式LED平板灯（功率36W，光效≥90lm/W），沿教室长边方向排列，每排3盏，共3排，每间9盏，确保光线均匀覆盖桌面。</w:t>
            </w:r>
          </w:p>
          <w:p w14:paraId="4B8C946D">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黑板区域：</w:t>
            </w:r>
          </w:p>
          <w:p w14:paraId="254997E6">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黑板上方安装2盏1200×150mm防眩LED黑板灯（功率24W，光束角30°，定向照射黑板，避免反光），距黑板上沿300mm，与黑板长度匹配。 </w:t>
            </w:r>
          </w:p>
          <w:p w14:paraId="6601D3D7">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3. 控制方式 </w:t>
            </w:r>
          </w:p>
          <w:p w14:paraId="07565DE3">
            <w:pPr>
              <w:keepNext w:val="0"/>
              <w:keepLines w:val="0"/>
              <w:pageBreakBefore w:val="0"/>
              <w:widowControl w:val="0"/>
              <w:numPr>
                <w:ilvl w:val="0"/>
                <w:numId w:val="0"/>
              </w:numPr>
              <w:kinsoku/>
              <w:wordWrap/>
              <w:overflowPunct/>
              <w:topLinePunct w:val="0"/>
              <w:bidi w:val="0"/>
              <w:adjustRightInd w:val="0"/>
              <w:snapToGrid w:val="0"/>
              <w:spacing w:line="240" w:lineRule="auto"/>
              <w:textAlignment w:val="auto"/>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分回路控制：课桌椅区域与黑板灯独立开关。 </w:t>
            </w:r>
          </w:p>
        </w:tc>
        <w:tc>
          <w:tcPr>
            <w:tcW w:w="919" w:type="dxa"/>
            <w:noWrap w:val="0"/>
            <w:vAlign w:val="center"/>
          </w:tcPr>
          <w:p w14:paraId="4DB81EA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批</w:t>
            </w:r>
          </w:p>
        </w:tc>
        <w:tc>
          <w:tcPr>
            <w:tcW w:w="879" w:type="dxa"/>
            <w:noWrap w:val="0"/>
            <w:vAlign w:val="center"/>
          </w:tcPr>
          <w:p w14:paraId="6C6E064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仿宋" w:hAnsi="仿宋" w:eastAsia="仿宋" w:cs="仿宋"/>
                <w:color w:val="auto"/>
                <w:kern w:val="0"/>
                <w:sz w:val="18"/>
                <w:szCs w:val="18"/>
                <w:highlight w:val="none"/>
                <w:lang w:val="en-US" w:eastAsia="zh-CN"/>
              </w:rPr>
            </w:pPr>
            <w:r>
              <w:rPr>
                <w:rFonts w:hint="eastAsia" w:ascii="仿宋" w:hAnsi="仿宋" w:eastAsia="仿宋" w:cs="仿宋"/>
                <w:color w:val="auto"/>
                <w:kern w:val="0"/>
                <w:sz w:val="18"/>
                <w:szCs w:val="18"/>
                <w:highlight w:val="none"/>
                <w:lang w:val="en-US" w:eastAsia="zh-CN"/>
              </w:rPr>
              <w:t>1</w:t>
            </w:r>
          </w:p>
        </w:tc>
      </w:tr>
    </w:tbl>
    <w:p w14:paraId="3CFB99D9">
      <w:pPr>
        <w:spacing w:line="460" w:lineRule="exact"/>
        <w:ind w:left="42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四、商务要求</w:t>
      </w:r>
    </w:p>
    <w:p w14:paraId="703A3631">
      <w:pPr>
        <w:spacing w:line="460" w:lineRule="exact"/>
        <w:ind w:firstLine="480" w:firstLineChars="200"/>
        <w:rPr>
          <w:rFonts w:hint="eastAsia" w:ascii="宋体" w:hAnsi="宋体" w:cs="宋体"/>
          <w:color w:val="auto"/>
          <w:sz w:val="24"/>
          <w:highlight w:val="none"/>
        </w:rPr>
      </w:pPr>
      <w:bookmarkStart w:id="182" w:name="_Hlk157591027"/>
      <w:bookmarkStart w:id="183" w:name="_Hlk161135196"/>
      <w:r>
        <w:rPr>
          <w:rFonts w:hint="eastAsia" w:ascii="宋体" w:hAnsi="宋体" w:cs="宋体"/>
          <w:color w:val="auto"/>
          <w:sz w:val="24"/>
          <w:highlight w:val="none"/>
        </w:rPr>
        <w:t>（一）项目完成</w:t>
      </w:r>
      <w:bookmarkEnd w:id="182"/>
      <w:r>
        <w:rPr>
          <w:rFonts w:hint="eastAsia" w:ascii="宋体" w:hAnsi="宋体" w:cs="宋体"/>
          <w:color w:val="auto"/>
          <w:sz w:val="24"/>
          <w:highlight w:val="none"/>
        </w:rPr>
        <w:t>时间、地点：</w:t>
      </w:r>
    </w:p>
    <w:p w14:paraId="3AB1FC72">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1.项目完成时间：合同签订后15日内完成。</w:t>
      </w:r>
    </w:p>
    <w:p w14:paraId="3429B915">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2.项目地点：采购人指定地点。</w:t>
      </w:r>
    </w:p>
    <w:p w14:paraId="38E981D3">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（二）培训及售后服务</w:t>
      </w:r>
    </w:p>
    <w:p w14:paraId="4ED5C174">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 根据采购单位要求，中标人提供现场操作培训，至操作人员可熟练操作。</w:t>
      </w:r>
    </w:p>
    <w:p w14:paraId="26D69ADD">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2.项目维保期要求：硬件部分免费维保期三年，软件部分免费维保期一年。</w:t>
      </w:r>
    </w:p>
    <w:p w14:paraId="065D0508">
      <w:pPr>
        <w:spacing w:line="360" w:lineRule="auto"/>
        <w:ind w:firstLine="480" w:firstLineChars="200"/>
        <w:rPr>
          <w:rFonts w:hint="eastAsia" w:ascii="宋体" w:hAnsi="宋体"/>
          <w:color w:val="auto"/>
          <w:sz w:val="24"/>
          <w:highlight w:val="none"/>
        </w:rPr>
      </w:pPr>
      <w:r>
        <w:rPr>
          <w:rFonts w:hint="eastAsia" w:ascii="宋体" w:hAnsi="宋体" w:cs="宋体"/>
          <w:color w:val="auto"/>
          <w:sz w:val="24"/>
          <w:highlight w:val="none"/>
        </w:rPr>
        <w:t>3.售后服务：</w:t>
      </w:r>
      <w:r>
        <w:rPr>
          <w:rFonts w:hint="eastAsia" w:ascii="宋体" w:hAnsi="宋体"/>
          <w:color w:val="auto"/>
          <w:sz w:val="24"/>
          <w:highlight w:val="none"/>
        </w:rPr>
        <w:t>验收合格后，软件平台提供不少于一年的免费维保期，硬件设备提供不少于三年的免费维保期。在免费维保期内，中标单位接到服务请求后，应保证在2小时内及时响应并提供服务，6小时内解决故障并恢复正常运行。对于重大事故或其他重要事件，应保证4小时内到达现场服务；应急故障处理：系统运行环境出现故障或意外情况导致系统不能正常运行时，投标单位应做到7*24小时响应；</w:t>
      </w:r>
    </w:p>
    <w:p w14:paraId="014E013F">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（三）验收</w:t>
      </w:r>
    </w:p>
    <w:p w14:paraId="08855835">
      <w:pPr>
        <w:spacing w:line="4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按采购人的招标文件、投标人的响应文件、国家及行业相关规定验收。</w:t>
      </w:r>
    </w:p>
    <w:p w14:paraId="101D6EB5">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（四）付款方式：</w:t>
      </w:r>
      <w:bookmarkEnd w:id="183"/>
    </w:p>
    <w:p w14:paraId="7D76CCC7">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（1）合同签订后5日内，支付合同金额30%的预付款。</w:t>
      </w:r>
    </w:p>
    <w:p w14:paraId="3BAE9742">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（2）经验收合格后支付合同金额的6</w:t>
      </w:r>
      <w:r>
        <w:rPr>
          <w:rFonts w:ascii="宋体" w:hAnsi="宋体" w:cs="宋体"/>
          <w:color w:val="auto"/>
          <w:sz w:val="24"/>
          <w:highlight w:val="none"/>
        </w:rPr>
        <w:t>0</w:t>
      </w:r>
      <w:r>
        <w:rPr>
          <w:rFonts w:hint="eastAsia" w:ascii="宋体" w:hAnsi="宋体" w:cs="宋体"/>
          <w:color w:val="auto"/>
          <w:sz w:val="24"/>
          <w:highlight w:val="none"/>
        </w:rPr>
        <w:t>%。</w:t>
      </w:r>
    </w:p>
    <w:p w14:paraId="53CD5BF8">
      <w:pPr>
        <w:pStyle w:val="13"/>
        <w:spacing w:beforeAutospacing="0" w:afterAutospacing="0" w:line="440" w:lineRule="exact"/>
        <w:ind w:firstLine="480" w:firstLineChars="200"/>
        <w:jc w:val="both"/>
        <w:rPr>
          <w:rFonts w:hint="eastAsia" w:ascii="宋体" w:hAnsi="宋体" w:cs="宋体"/>
          <w:color w:val="auto"/>
          <w:highlight w:val="none"/>
        </w:rPr>
      </w:pPr>
      <w:r>
        <w:rPr>
          <w:rFonts w:hint="eastAsia" w:ascii="宋体" w:hAnsi="宋体" w:cs="宋体"/>
          <w:color w:val="auto"/>
          <w:highlight w:val="none"/>
        </w:rPr>
        <w:t>（3）验收合格之日起满1年支付合同金额的</w:t>
      </w:r>
      <w:r>
        <w:rPr>
          <w:rFonts w:ascii="宋体" w:hAnsi="宋体" w:cs="宋体"/>
          <w:color w:val="auto"/>
          <w:highlight w:val="none"/>
        </w:rPr>
        <w:t>10</w:t>
      </w:r>
      <w:r>
        <w:rPr>
          <w:rFonts w:hint="eastAsia" w:ascii="宋体" w:hAnsi="宋体" w:cs="宋体"/>
          <w:color w:val="auto"/>
          <w:highlight w:val="none"/>
        </w:rPr>
        <w:t>%。</w:t>
      </w:r>
    </w:p>
    <w:p w14:paraId="1988C5D0">
      <w:pPr>
        <w:pStyle w:val="13"/>
        <w:spacing w:beforeAutospacing="0" w:afterAutospacing="0" w:line="440" w:lineRule="exact"/>
        <w:ind w:firstLine="480" w:firstLineChars="200"/>
        <w:jc w:val="both"/>
        <w:rPr>
          <w:rFonts w:hint="eastAsia" w:ascii="宋体" w:hAnsi="宋体" w:cs="宋体"/>
          <w:color w:val="auto"/>
          <w:highlight w:val="none"/>
        </w:rPr>
      </w:pPr>
      <w:r>
        <w:rPr>
          <w:rFonts w:hint="eastAsia" w:ascii="宋体" w:hAnsi="宋体" w:cs="宋体"/>
          <w:color w:val="auto"/>
          <w:highlight w:val="none"/>
        </w:rPr>
        <w:t>（</w:t>
      </w:r>
      <w:r>
        <w:rPr>
          <w:rFonts w:ascii="宋体" w:hAnsi="宋体" w:cs="宋体"/>
          <w:color w:val="auto"/>
          <w:highlight w:val="none"/>
        </w:rPr>
        <w:t>4</w:t>
      </w:r>
      <w:r>
        <w:rPr>
          <w:rFonts w:hint="eastAsia" w:ascii="宋体" w:hAnsi="宋体" w:cs="宋体"/>
          <w:color w:val="auto"/>
          <w:highlight w:val="none"/>
        </w:rPr>
        <w:t>）在签订合同时，乙方明确表示无需预付款或者主动要求降低预付款比例的，甲方可不适用上述关于预付款的规定。</w:t>
      </w:r>
    </w:p>
    <w:p w14:paraId="2145FE78">
      <w:pPr>
        <w:pStyle w:val="13"/>
        <w:spacing w:beforeAutospacing="0" w:afterAutospacing="0" w:line="440" w:lineRule="exact"/>
        <w:ind w:firstLine="480" w:firstLineChars="200"/>
        <w:jc w:val="both"/>
        <w:rPr>
          <w:rFonts w:hint="eastAsia" w:ascii="宋体" w:hAnsi="宋体" w:cs="宋体"/>
          <w:color w:val="auto"/>
          <w:highlight w:val="none"/>
        </w:rPr>
      </w:pPr>
      <w:r>
        <w:rPr>
          <w:rFonts w:hint="eastAsia" w:ascii="宋体" w:hAnsi="宋体" w:cs="宋体"/>
          <w:color w:val="auto"/>
          <w:highlight w:val="none"/>
        </w:rPr>
        <w:t>（</w:t>
      </w:r>
      <w:r>
        <w:rPr>
          <w:rFonts w:ascii="宋体" w:hAnsi="宋体" w:cs="宋体"/>
          <w:color w:val="auto"/>
          <w:highlight w:val="none"/>
        </w:rPr>
        <w:t>5</w:t>
      </w:r>
      <w:r>
        <w:rPr>
          <w:rFonts w:hint="eastAsia" w:ascii="宋体" w:hAnsi="宋体" w:cs="宋体"/>
          <w:color w:val="auto"/>
          <w:highlight w:val="none"/>
        </w:rPr>
        <w:t>）结算款项时乙方须出具相应金额的有效票据。</w:t>
      </w:r>
    </w:p>
    <w:p w14:paraId="44DB4395">
      <w:pPr>
        <w:pStyle w:val="13"/>
        <w:spacing w:beforeAutospacing="0" w:afterAutospacing="0" w:line="440" w:lineRule="exact"/>
        <w:ind w:firstLine="480" w:firstLineChars="200"/>
        <w:jc w:val="both"/>
        <w:rPr>
          <w:rFonts w:hint="eastAsia" w:ascii="宋体" w:hAnsi="宋体" w:cs="宋体"/>
          <w:color w:val="auto"/>
          <w:highlight w:val="none"/>
        </w:rPr>
      </w:pPr>
      <w:r>
        <w:rPr>
          <w:rFonts w:hint="eastAsia" w:ascii="宋体" w:hAnsi="宋体" w:cs="宋体"/>
          <w:color w:val="auto"/>
          <w:highlight w:val="none"/>
        </w:rPr>
        <w:t>（</w:t>
      </w:r>
      <w:r>
        <w:rPr>
          <w:rFonts w:ascii="宋体" w:hAnsi="宋体" w:cs="宋体"/>
          <w:color w:val="auto"/>
          <w:highlight w:val="none"/>
        </w:rPr>
        <w:t>6</w:t>
      </w:r>
      <w:r>
        <w:rPr>
          <w:rFonts w:hint="eastAsia" w:ascii="宋体" w:hAnsi="宋体" w:cs="宋体"/>
          <w:color w:val="auto"/>
          <w:highlight w:val="none"/>
        </w:rPr>
        <w:t>）甲方原则上自收到发票后10个工作日内将资金支付到乙方账户。</w:t>
      </w:r>
    </w:p>
    <w:p w14:paraId="44B26970">
      <w:pPr>
        <w:pStyle w:val="13"/>
        <w:spacing w:beforeAutospacing="0" w:afterAutospacing="0" w:line="440" w:lineRule="exact"/>
        <w:ind w:firstLine="480" w:firstLineChars="200"/>
        <w:jc w:val="both"/>
        <w:rPr>
          <w:rFonts w:hint="eastAsia" w:ascii="宋体" w:hAnsi="宋体" w:cs="宋体"/>
          <w:color w:val="auto"/>
          <w:highlight w:val="none"/>
          <w:lang w:val="en-US" w:eastAsia="zh-CN"/>
        </w:rPr>
      </w:pPr>
      <w:r>
        <w:rPr>
          <w:rFonts w:hint="eastAsia" w:ascii="宋体" w:hAnsi="宋体" w:cs="宋体"/>
          <w:color w:val="auto"/>
          <w:highlight w:val="none"/>
          <w:lang w:val="en-US" w:eastAsia="zh-CN"/>
        </w:rPr>
        <w:t>注：</w:t>
      </w:r>
      <w:r>
        <w:rPr>
          <w:rFonts w:hint="eastAsia" w:ascii="宋体" w:hAnsi="宋体" w:cs="宋体"/>
          <w:color w:val="auto"/>
          <w:highlight w:val="none"/>
        </w:rPr>
        <w:t>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p>
    <w:p w14:paraId="2F2C67FF">
      <w:pPr>
        <w:spacing w:line="460" w:lineRule="exact"/>
        <w:ind w:left="420"/>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五</w:t>
      </w:r>
      <w:r>
        <w:rPr>
          <w:rFonts w:hint="eastAsia" w:ascii="宋体" w:hAnsi="宋体" w:cs="宋体"/>
          <w:b/>
          <w:bCs/>
          <w:color w:val="auto"/>
          <w:sz w:val="28"/>
          <w:szCs w:val="28"/>
          <w:highlight w:val="none"/>
        </w:rPr>
        <w:t>、本项目不接受进口产品投标</w:t>
      </w:r>
    </w:p>
    <w:p w14:paraId="26D3B85B">
      <w:pPr>
        <w:spacing w:line="460" w:lineRule="exact"/>
        <w:ind w:left="420"/>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六</w:t>
      </w:r>
      <w:r>
        <w:rPr>
          <w:rFonts w:hint="eastAsia" w:ascii="宋体" w:hAnsi="宋体" w:cs="宋体"/>
          <w:b/>
          <w:bCs/>
          <w:color w:val="auto"/>
          <w:sz w:val="28"/>
          <w:szCs w:val="28"/>
          <w:highlight w:val="none"/>
        </w:rPr>
        <w:t>、采购标的对应的中小企业划分标准所属行业一览表</w:t>
      </w:r>
    </w:p>
    <w:tbl>
      <w:tblPr>
        <w:tblStyle w:val="14"/>
        <w:tblW w:w="6891" w:type="dxa"/>
        <w:jc w:val="center"/>
        <w:tblCellSpacing w:w="0" w:type="dxa"/>
        <w:tblLayout w:type="fixed"/>
        <w:tblCellMar>
          <w:top w:w="0" w:type="dxa"/>
          <w:left w:w="108" w:type="dxa"/>
          <w:bottom w:w="0" w:type="dxa"/>
          <w:right w:w="108" w:type="dxa"/>
        </w:tblCellMar>
      </w:tblPr>
      <w:tblGrid>
        <w:gridCol w:w="863"/>
        <w:gridCol w:w="3229"/>
        <w:gridCol w:w="2799"/>
      </w:tblGrid>
      <w:tr w14:paraId="7A096DBB">
        <w:tblPrEx>
          <w:tblCellMar>
            <w:top w:w="0" w:type="dxa"/>
            <w:left w:w="108" w:type="dxa"/>
            <w:bottom w:w="0" w:type="dxa"/>
            <w:right w:w="108" w:type="dxa"/>
          </w:tblCellMar>
        </w:tblPrEx>
        <w:trPr>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26B42D46">
            <w:pPr>
              <w:pStyle w:val="13"/>
              <w:spacing w:beforeAutospacing="0" w:afterAutospacing="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517F64EF">
            <w:pPr>
              <w:pStyle w:val="13"/>
              <w:spacing w:beforeAutospacing="0" w:afterAutospacing="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采购标的</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14:paraId="3DDFFD3B">
            <w:pPr>
              <w:pStyle w:val="13"/>
              <w:spacing w:beforeAutospacing="0" w:afterAutospacing="0" w:line="0" w:lineRule="atLeas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对应中小企业划分标准所属行业</w:t>
            </w:r>
          </w:p>
        </w:tc>
      </w:tr>
      <w:tr w14:paraId="5D5B5634">
        <w:tblPrEx>
          <w:tblCellMar>
            <w:top w:w="0" w:type="dxa"/>
            <w:left w:w="108" w:type="dxa"/>
            <w:bottom w:w="0" w:type="dxa"/>
            <w:right w:w="108" w:type="dxa"/>
          </w:tblCellMar>
        </w:tblPrEx>
        <w:trPr>
          <w:trHeight w:val="291"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C86CD9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4"/>
                <w:szCs w:val="24"/>
                <w:highlight w:val="none"/>
              </w:rPr>
              <w:t>◆</w:t>
            </w:r>
            <w:r>
              <w:rPr>
                <w:rFonts w:hint="eastAsia" w:ascii="仿宋" w:hAnsi="仿宋" w:eastAsia="仿宋" w:cs="仿宋"/>
                <w:color w:val="auto"/>
                <w:kern w:val="0"/>
                <w:sz w:val="18"/>
                <w:szCs w:val="18"/>
                <w:highlight w:val="none"/>
              </w:rPr>
              <w:t>1</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2BE45E94">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财务大数据实践教学平台</w:t>
            </w:r>
          </w:p>
        </w:tc>
        <w:tc>
          <w:tcPr>
            <w:tcW w:w="2799" w:type="dxa"/>
            <w:tcBorders>
              <w:top w:val="single" w:color="000000" w:sz="4" w:space="0"/>
              <w:left w:val="single" w:color="000000" w:sz="4" w:space="0"/>
              <w:bottom w:val="single" w:color="000000" w:sz="4" w:space="0"/>
              <w:right w:val="single" w:color="000000" w:sz="4" w:space="0"/>
            </w:tcBorders>
            <w:noWrap w:val="0"/>
            <w:vAlign w:val="center"/>
          </w:tcPr>
          <w:p w14:paraId="369E2DBC">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软件和信息技术服务业</w:t>
            </w:r>
          </w:p>
        </w:tc>
      </w:tr>
      <w:tr w14:paraId="4D06CD93">
        <w:tblPrEx>
          <w:tblCellMar>
            <w:top w:w="0" w:type="dxa"/>
            <w:left w:w="108" w:type="dxa"/>
            <w:bottom w:w="0" w:type="dxa"/>
            <w:right w:w="108" w:type="dxa"/>
          </w:tblCellMar>
        </w:tblPrEx>
        <w:trPr>
          <w:trHeight w:val="235"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3034E2D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2</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62990944">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Excel在财务的应用教学平台</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CBBA74F">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软件和信息技术服务业</w:t>
            </w:r>
          </w:p>
        </w:tc>
      </w:tr>
      <w:tr w14:paraId="6903E4F9">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7893A3B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3</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3B8D0722">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系统管理软件</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2C626F11">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软件和信息技术服务业</w:t>
            </w:r>
          </w:p>
        </w:tc>
      </w:tr>
      <w:tr w14:paraId="5D3B86BF">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1E4146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4</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04331DC0">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风管机空调</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2E1347F">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091BF2D0">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9B99AA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5</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3CFE3295">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实物投影仪</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921A330">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1300ABA8">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7CA8CE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6</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2831FE4A">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网络设备</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6FF9821">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60E60045">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A6651A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rPr>
            </w:pPr>
            <w:r>
              <w:rPr>
                <w:rFonts w:hint="eastAsia" w:ascii="仿宋" w:hAnsi="仿宋" w:eastAsia="仿宋" w:cs="仿宋"/>
                <w:color w:val="auto"/>
                <w:kern w:val="0"/>
                <w:sz w:val="18"/>
                <w:szCs w:val="18"/>
                <w:highlight w:val="none"/>
                <w:lang w:val="en-US" w:eastAsia="zh-CN"/>
              </w:rPr>
              <w:t>7</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20D7D12D">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多媒体讲台</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164F97E">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112D2368">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3BD0A92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8</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9D593">
            <w:pPr>
              <w:spacing w:beforeAutospacing="0" w:afterAutospacing="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学生桌椅</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79297045">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0B18110D">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E8D582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9</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2EE6A">
            <w:pPr>
              <w:spacing w:beforeAutospacing="0" w:afterAutospacing="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会计专用桌椅</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6FD2D562">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1A521DB2">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012170B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10</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63E50">
            <w:pPr>
              <w:spacing w:beforeAutospacing="0" w:afterAutospacing="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凭证装订机</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1ADC3EA">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516C8426">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1FE5F68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11</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007BE">
            <w:pPr>
              <w:spacing w:beforeAutospacing="0" w:afterAutospacing="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智能助教机器人</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07CCA854">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250D6C6E">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0DB8536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12</w:t>
            </w:r>
          </w:p>
        </w:tc>
        <w:tc>
          <w:tcPr>
            <w:tcW w:w="3229" w:type="dxa"/>
            <w:tcBorders>
              <w:top w:val="single" w:color="000000" w:sz="4" w:space="0"/>
              <w:left w:val="single" w:color="000000" w:sz="4" w:space="0"/>
              <w:bottom w:val="single" w:color="000000" w:sz="4" w:space="0"/>
              <w:right w:val="single" w:color="000000" w:sz="4" w:space="0"/>
            </w:tcBorders>
            <w:noWrap w:val="0"/>
            <w:vAlign w:val="center"/>
          </w:tcPr>
          <w:p w14:paraId="753F35D6">
            <w:pPr>
              <w:spacing w:beforeAutospacing="0" w:afterAutospacing="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智慧黑板</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4AA166D8">
            <w:pPr>
              <w:pStyle w:val="13"/>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160B1043">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45951213">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13</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C0332">
            <w:pPr>
              <w:spacing w:beforeAutospacing="0" w:afterAutospacing="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布线、辅材</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8C75D91">
            <w:pPr>
              <w:spacing w:beforeAutospacing="0" w:afterAutospacing="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工业</w:t>
            </w:r>
          </w:p>
        </w:tc>
      </w:tr>
      <w:tr w14:paraId="45DF6198">
        <w:tblPrEx>
          <w:tblCellMar>
            <w:top w:w="0" w:type="dxa"/>
            <w:left w:w="108" w:type="dxa"/>
            <w:bottom w:w="0" w:type="dxa"/>
            <w:right w:w="108" w:type="dxa"/>
          </w:tblCellMar>
        </w:tblPrEx>
        <w:trPr>
          <w:trHeight w:val="222" w:hRule="atLeast"/>
          <w:tblCellSpacing w:w="0" w:type="dxa"/>
          <w:jc w:val="center"/>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51416979">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仿宋" w:hAnsi="仿宋" w:eastAsia="仿宋" w:cs="仿宋"/>
                <w:color w:val="auto"/>
                <w:kern w:val="0"/>
                <w:sz w:val="18"/>
                <w:szCs w:val="18"/>
                <w:highlight w:val="none"/>
                <w:lang w:val="en-US" w:eastAsia="zh-CN"/>
              </w:rPr>
              <w:t>14</w:t>
            </w:r>
          </w:p>
        </w:tc>
        <w:tc>
          <w:tcPr>
            <w:tcW w:w="32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C65E8">
            <w:pPr>
              <w:spacing w:beforeAutospacing="0" w:afterAutospacing="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环境布置</w:t>
            </w:r>
          </w:p>
        </w:tc>
        <w:tc>
          <w:tcPr>
            <w:tcW w:w="2799" w:type="dxa"/>
            <w:tcBorders>
              <w:top w:val="single" w:color="000000" w:sz="4" w:space="0"/>
              <w:left w:val="single" w:color="000000" w:sz="4" w:space="0"/>
              <w:bottom w:val="single" w:color="000000" w:sz="4" w:space="0"/>
              <w:right w:val="single" w:color="000000" w:sz="4" w:space="0"/>
            </w:tcBorders>
            <w:noWrap w:val="0"/>
            <w:vAlign w:val="top"/>
          </w:tcPr>
          <w:p w14:paraId="5374557B">
            <w:pPr>
              <w:spacing w:beforeAutospacing="0" w:afterAutospacing="0"/>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其他未列明行业</w:t>
            </w:r>
          </w:p>
        </w:tc>
      </w:tr>
    </w:tbl>
    <w:p w14:paraId="5DDBBFBA">
      <w:pPr>
        <w:ind w:firstLine="960" w:firstLineChars="400"/>
        <w:rPr>
          <w:rFonts w:hint="default" w:ascii="黑体" w:hAnsi="宋体" w:eastAsia="黑体" w:cs="黑体"/>
          <w:color w:val="auto"/>
          <w:sz w:val="52"/>
          <w:szCs w:val="52"/>
          <w:highlight w:val="none"/>
          <w:lang w:val="en-US"/>
        </w:rPr>
      </w:pPr>
      <w:r>
        <w:rPr>
          <w:rFonts w:hint="eastAsia" w:asciiTheme="minorEastAsia" w:hAnsiTheme="minorEastAsia" w:cstheme="minorEastAsia"/>
          <w:color w:val="auto"/>
          <w:sz w:val="24"/>
          <w:szCs w:val="24"/>
          <w:highlight w:val="none"/>
          <w:lang w:val="en-US" w:eastAsia="zh-CN"/>
        </w:rPr>
        <w:t>标注“</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val="en-US" w:eastAsia="zh-CN"/>
        </w:rPr>
        <w:t>”项为核心产品。</w:t>
      </w:r>
    </w:p>
    <w:p w14:paraId="136D1C01">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4D968C29">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3BF18125">
      <w:pPr>
        <w:pStyle w:val="13"/>
        <w:spacing w:beforeAutospacing="0" w:afterAutospacing="0"/>
        <w:jc w:val="both"/>
        <w:rPr>
          <w:color w:val="auto"/>
          <w:highlight w:val="none"/>
        </w:rPr>
      </w:pPr>
      <w:r>
        <w:rPr>
          <w:color w:val="auto"/>
          <w:highlight w:val="none"/>
        </w:rPr>
        <w:t> </w:t>
      </w:r>
    </w:p>
    <w:p w14:paraId="18BF54B0">
      <w:pPr>
        <w:keepNext w:val="0"/>
        <w:keepLines w:val="0"/>
        <w:pageBreakBefore w:val="0"/>
        <w:widowControl w:val="0"/>
        <w:kinsoku/>
        <w:wordWrap/>
        <w:overflowPunct/>
        <w:topLinePunct w:val="0"/>
        <w:autoSpaceDE/>
        <w:autoSpaceDN/>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7BC57C2C">
      <w:pPr>
        <w:keepNext w:val="0"/>
        <w:keepLines w:val="0"/>
        <w:pageBreakBefore w:val="0"/>
        <w:widowControl w:val="0"/>
        <w:kinsoku/>
        <w:wordWrap/>
        <w:overflowPunct/>
        <w:topLinePunct w:val="0"/>
        <w:autoSpaceDE/>
        <w:autoSpaceDN/>
        <w:bidi w:val="0"/>
        <w:snapToGrid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6A27AF07">
      <w:pPr>
        <w:pStyle w:val="13"/>
        <w:keepNext w:val="0"/>
        <w:keepLines w:val="0"/>
        <w:pageBreakBefore w:val="0"/>
        <w:widowControl w:val="0"/>
        <w:kinsoku/>
        <w:wordWrap/>
        <w:overflowPunct/>
        <w:topLinePunct w:val="0"/>
        <w:autoSpaceDE/>
        <w:autoSpaceDN/>
        <w:bidi w:val="0"/>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val="0"/>
          <w:color w:val="auto"/>
          <w:highlight w:val="none"/>
        </w:rPr>
        <w:t>本项目专门面向中小企业采购，不再对小微企业服务给予价格扣除</w:t>
      </w:r>
      <w:r>
        <w:rPr>
          <w:rFonts w:hint="eastAsia" w:ascii="宋体" w:hAnsi="宋体" w:cs="宋体"/>
          <w:b/>
          <w:bCs w:val="0"/>
          <w:color w:val="auto"/>
          <w:highlight w:val="none"/>
          <w:lang w:eastAsia="zh-CN"/>
        </w:rPr>
        <w:t>。</w:t>
      </w:r>
    </w:p>
    <w:p w14:paraId="443393A0">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5FB630C3">
      <w:pPr>
        <w:pStyle w:val="13"/>
        <w:keepNext w:val="0"/>
        <w:keepLines w:val="0"/>
        <w:pageBreakBefore w:val="0"/>
        <w:widowControl w:val="0"/>
        <w:kinsoku/>
        <w:wordWrap/>
        <w:overflowPunct/>
        <w:topLinePunct w:val="0"/>
        <w:autoSpaceDE/>
        <w:autoSpaceDN/>
        <w:bidi w:val="0"/>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评标方法与评标标准</w:t>
      </w:r>
    </w:p>
    <w:p w14:paraId="6C09C762">
      <w:pPr>
        <w:autoSpaceDE w:val="0"/>
        <w:autoSpaceDN w:val="0"/>
        <w:adjustRightInd w:val="0"/>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本次招标采用使用综合评分法，综合评分法，是指各标段投标文件满足招标文件全部实质性要求，且按照评审因素的量化指标评审得分最高的投标人为该标段中标候选人的评标方法。</w:t>
      </w:r>
    </w:p>
    <w:p w14:paraId="004C48EB">
      <w:pPr>
        <w:autoSpaceDE w:val="0"/>
        <w:autoSpaceDN w:val="0"/>
        <w:adjustRightInd w:val="0"/>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具体评审细则如下：</w:t>
      </w:r>
    </w:p>
    <w:tbl>
      <w:tblPr>
        <w:tblStyle w:val="14"/>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118"/>
        <w:gridCol w:w="1234"/>
        <w:gridCol w:w="709"/>
        <w:gridCol w:w="5726"/>
      </w:tblGrid>
      <w:tr w14:paraId="766A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38904080">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4B7A8FC">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分部内容</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020369FE">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分项内容</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9E36DE5">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分值</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4079B907">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打分要求</w:t>
            </w:r>
          </w:p>
        </w:tc>
      </w:tr>
      <w:tr w14:paraId="5233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75" w:type="dxa"/>
            <w:tcBorders>
              <w:top w:val="single" w:color="auto" w:sz="4" w:space="0"/>
              <w:left w:val="single" w:color="auto" w:sz="4" w:space="0"/>
              <w:right w:val="single" w:color="auto" w:sz="4" w:space="0"/>
            </w:tcBorders>
            <w:noWrap w:val="0"/>
            <w:vAlign w:val="center"/>
          </w:tcPr>
          <w:p w14:paraId="501A1CEF">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一</w:t>
            </w:r>
          </w:p>
        </w:tc>
        <w:tc>
          <w:tcPr>
            <w:tcW w:w="1118" w:type="dxa"/>
            <w:tcBorders>
              <w:top w:val="single" w:color="auto" w:sz="4" w:space="0"/>
              <w:left w:val="single" w:color="auto" w:sz="4" w:space="0"/>
              <w:right w:val="single" w:color="auto" w:sz="4" w:space="0"/>
            </w:tcBorders>
            <w:noWrap w:val="0"/>
            <w:vAlign w:val="center"/>
          </w:tcPr>
          <w:p w14:paraId="3AFDCAD6">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价格部分</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AE0F7F1">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投标报价</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2B2112">
            <w:pPr>
              <w:widowControl/>
              <w:jc w:val="center"/>
              <w:textAlignment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kern w:val="0"/>
                <w:sz w:val="21"/>
                <w:szCs w:val="21"/>
                <w:highlight w:val="none"/>
                <w:lang w:bidi="ar"/>
              </w:rPr>
              <w:t>3</w:t>
            </w:r>
            <w:r>
              <w:rPr>
                <w:rFonts w:hint="eastAsia" w:ascii="仿宋" w:hAnsi="仿宋" w:eastAsia="仿宋" w:cs="仿宋"/>
                <w:color w:val="auto"/>
                <w:kern w:val="0"/>
                <w:sz w:val="21"/>
                <w:szCs w:val="21"/>
                <w:highlight w:val="none"/>
                <w:lang w:val="en-US" w:eastAsia="zh-CN" w:bidi="ar"/>
              </w:rPr>
              <w:t>5</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5DF5DDD1">
            <w:pPr>
              <w:widowControl/>
              <w:ind w:firstLine="420" w:firstLineChars="200"/>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bidi="ar"/>
              </w:rPr>
              <w:t>满足招标文件要求且投标价格最低的投标报价为基准价，其价格分为满分。报价得分＝（评标基准价/投标报价）×3</w:t>
            </w:r>
            <w:r>
              <w:rPr>
                <w:rFonts w:hint="eastAsia" w:ascii="仿宋" w:hAnsi="仿宋" w:eastAsia="仿宋" w:cs="仿宋"/>
                <w:color w:val="auto"/>
                <w:kern w:val="0"/>
                <w:sz w:val="21"/>
                <w:szCs w:val="21"/>
                <w:highlight w:val="none"/>
                <w:lang w:val="en-US" w:eastAsia="zh-CN" w:bidi="ar"/>
              </w:rPr>
              <w:t>5</w:t>
            </w:r>
            <w:r>
              <w:rPr>
                <w:rFonts w:hint="eastAsia" w:ascii="仿宋" w:hAnsi="仿宋" w:eastAsia="仿宋" w:cs="仿宋"/>
                <w:color w:val="auto"/>
                <w:kern w:val="0"/>
                <w:sz w:val="21"/>
                <w:szCs w:val="21"/>
                <w:highlight w:val="none"/>
                <w:lang w:bidi="ar"/>
              </w:rPr>
              <w:t>。</w:t>
            </w:r>
          </w:p>
        </w:tc>
      </w:tr>
      <w:tr w14:paraId="4962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restart"/>
            <w:tcBorders>
              <w:top w:val="single" w:color="auto" w:sz="4" w:space="0"/>
              <w:left w:val="single" w:color="auto" w:sz="4" w:space="0"/>
              <w:right w:val="single" w:color="auto" w:sz="4" w:space="0"/>
            </w:tcBorders>
            <w:noWrap w:val="0"/>
            <w:vAlign w:val="center"/>
          </w:tcPr>
          <w:p w14:paraId="2DCBCB37">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二</w:t>
            </w:r>
          </w:p>
        </w:tc>
        <w:tc>
          <w:tcPr>
            <w:tcW w:w="1118" w:type="dxa"/>
            <w:vMerge w:val="restart"/>
            <w:tcBorders>
              <w:top w:val="single" w:color="auto" w:sz="4" w:space="0"/>
              <w:left w:val="single" w:color="auto" w:sz="4" w:space="0"/>
              <w:right w:val="single" w:color="auto" w:sz="4" w:space="0"/>
            </w:tcBorders>
            <w:noWrap w:val="0"/>
            <w:vAlign w:val="center"/>
          </w:tcPr>
          <w:p w14:paraId="72D50F38">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技术部分</w:t>
            </w:r>
          </w:p>
        </w:tc>
        <w:tc>
          <w:tcPr>
            <w:tcW w:w="1234" w:type="dxa"/>
            <w:tcBorders>
              <w:top w:val="single" w:color="auto" w:sz="4" w:space="0"/>
              <w:left w:val="single" w:color="auto" w:sz="4" w:space="0"/>
              <w:right w:val="single" w:color="auto" w:sz="4" w:space="0"/>
            </w:tcBorders>
            <w:noWrap w:val="0"/>
            <w:vAlign w:val="center"/>
          </w:tcPr>
          <w:p w14:paraId="4718CCE9">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产品技术参数与功能指标</w:t>
            </w:r>
          </w:p>
        </w:tc>
        <w:tc>
          <w:tcPr>
            <w:tcW w:w="709" w:type="dxa"/>
            <w:tcBorders>
              <w:top w:val="single" w:color="auto" w:sz="4" w:space="0"/>
              <w:left w:val="single" w:color="auto" w:sz="4" w:space="0"/>
              <w:right w:val="single" w:color="auto" w:sz="4" w:space="0"/>
            </w:tcBorders>
            <w:noWrap w:val="0"/>
            <w:vAlign w:val="center"/>
          </w:tcPr>
          <w:p w14:paraId="69E3FA9E">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val="en-US" w:eastAsia="zh-CN" w:bidi="ar"/>
              </w:rPr>
              <w:t>3</w:t>
            </w:r>
            <w:r>
              <w:rPr>
                <w:rFonts w:hint="eastAsia" w:ascii="仿宋" w:hAnsi="仿宋" w:eastAsia="仿宋" w:cs="仿宋"/>
                <w:color w:val="auto"/>
                <w:kern w:val="0"/>
                <w:sz w:val="21"/>
                <w:szCs w:val="21"/>
                <w:highlight w:val="none"/>
                <w:lang w:bidi="ar"/>
              </w:rPr>
              <w:t>0</w:t>
            </w:r>
          </w:p>
        </w:tc>
        <w:tc>
          <w:tcPr>
            <w:tcW w:w="5726" w:type="dxa"/>
            <w:tcBorders>
              <w:top w:val="single" w:color="auto" w:sz="4" w:space="0"/>
              <w:left w:val="single" w:color="auto" w:sz="4" w:space="0"/>
              <w:right w:val="single" w:color="auto" w:sz="4" w:space="0"/>
            </w:tcBorders>
            <w:noWrap w:val="0"/>
            <w:vAlign w:val="center"/>
          </w:tcPr>
          <w:p w14:paraId="53AACB6B">
            <w:pPr>
              <w:widowControl/>
              <w:ind w:firstLine="420" w:firstLineChars="200"/>
              <w:jc w:val="left"/>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投标人是否已充分理解并全部响应本次项目采购要求中所需功能模块和业务需求，评委针对响应文件技术响应指标与需求的吻合程度和偏差情况打分，</w:t>
            </w:r>
            <w:r>
              <w:rPr>
                <w:rFonts w:hint="eastAsia" w:ascii="仿宋" w:hAnsi="仿宋" w:eastAsia="仿宋" w:cs="仿宋"/>
                <w:color w:val="auto"/>
                <w:sz w:val="21"/>
                <w:szCs w:val="21"/>
                <w:highlight w:val="none"/>
              </w:rPr>
              <w:t>每一个标注▲号的参数为重要指标，需提供相应证书或功能截图进行佐证，每存在一条不满足扣2分；未标注▲号的参数，每存在一条不满足扣1分；本项总共</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分，分数扣完为止。</w:t>
            </w:r>
          </w:p>
        </w:tc>
      </w:tr>
      <w:tr w14:paraId="0DF68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404247C3">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6C0D33C1">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5EB485F0">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项目整体建设方案</w:t>
            </w:r>
          </w:p>
        </w:tc>
        <w:tc>
          <w:tcPr>
            <w:tcW w:w="709" w:type="dxa"/>
            <w:tcBorders>
              <w:top w:val="single" w:color="auto" w:sz="4" w:space="0"/>
              <w:left w:val="single" w:color="auto" w:sz="4" w:space="0"/>
              <w:right w:val="single" w:color="auto" w:sz="4" w:space="0"/>
            </w:tcBorders>
            <w:noWrap w:val="0"/>
            <w:vAlign w:val="center"/>
          </w:tcPr>
          <w:p w14:paraId="0B354162">
            <w:pPr>
              <w:jc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sz w:val="21"/>
                <w:szCs w:val="21"/>
                <w:highlight w:val="none"/>
              </w:rPr>
              <w:t>6</w:t>
            </w:r>
          </w:p>
        </w:tc>
        <w:tc>
          <w:tcPr>
            <w:tcW w:w="5726" w:type="dxa"/>
            <w:tcBorders>
              <w:top w:val="single" w:color="auto" w:sz="4" w:space="0"/>
              <w:left w:val="single" w:color="auto" w:sz="4" w:space="0"/>
              <w:right w:val="single" w:color="auto" w:sz="4" w:space="0"/>
            </w:tcBorders>
            <w:noWrap w:val="0"/>
            <w:vAlign w:val="center"/>
          </w:tcPr>
          <w:p w14:paraId="42E1171D">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zh-CN" w:bidi="ar"/>
              </w:rPr>
              <w:t>评委根据</w:t>
            </w:r>
            <w:r>
              <w:rPr>
                <w:rFonts w:hint="eastAsia" w:ascii="仿宋" w:hAnsi="仿宋" w:eastAsia="仿宋" w:cs="仿宋"/>
                <w:color w:val="auto"/>
                <w:kern w:val="0"/>
                <w:sz w:val="21"/>
                <w:szCs w:val="21"/>
                <w:highlight w:val="none"/>
                <w:lang w:val="zh-CN" w:eastAsia="zh-CN" w:bidi="ar"/>
              </w:rPr>
              <w:t>投标人提供</w:t>
            </w:r>
            <w:r>
              <w:rPr>
                <w:rFonts w:hint="eastAsia" w:ascii="仿宋" w:hAnsi="仿宋" w:eastAsia="仿宋" w:cs="仿宋"/>
                <w:color w:val="auto"/>
                <w:kern w:val="0"/>
                <w:sz w:val="21"/>
                <w:szCs w:val="21"/>
                <w:highlight w:val="none"/>
                <w:lang w:val="en-US" w:eastAsia="zh-CN" w:bidi="ar"/>
              </w:rPr>
              <w:t>的</w:t>
            </w:r>
            <w:r>
              <w:rPr>
                <w:rFonts w:hint="eastAsia" w:ascii="仿宋" w:hAnsi="仿宋" w:eastAsia="仿宋" w:cs="仿宋"/>
                <w:color w:val="auto"/>
                <w:sz w:val="21"/>
                <w:szCs w:val="21"/>
                <w:highlight w:val="none"/>
              </w:rPr>
              <w:t>整体建设方案</w:t>
            </w:r>
            <w:r>
              <w:rPr>
                <w:rFonts w:hint="eastAsia" w:ascii="仿宋" w:hAnsi="仿宋" w:eastAsia="仿宋" w:cs="仿宋"/>
                <w:color w:val="auto"/>
                <w:sz w:val="21"/>
                <w:szCs w:val="21"/>
                <w:highlight w:val="none"/>
                <w:lang w:val="en-US" w:eastAsia="zh-CN"/>
              </w:rPr>
              <w:t>进行评审，提供的</w:t>
            </w:r>
            <w:r>
              <w:rPr>
                <w:rFonts w:hint="eastAsia" w:ascii="仿宋" w:hAnsi="仿宋" w:eastAsia="仿宋" w:cs="仿宋"/>
                <w:color w:val="auto"/>
                <w:sz w:val="21"/>
                <w:szCs w:val="21"/>
                <w:highlight w:val="none"/>
              </w:rPr>
              <w:t>方案包含但不限于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建设背景、建设必要性和可行性、建设原则、建设目标、建设内容、场地设计图等。</w:t>
            </w:r>
          </w:p>
          <w:p w14:paraId="2A3D979A">
            <w:pPr>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满足以上6项要求最多得6分；满足任意1项得1分；其余情况不得分。</w:t>
            </w:r>
          </w:p>
          <w:p w14:paraId="5E3CDE7A">
            <w:pPr>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注：评审委员会根据各供应商的具体响应内容按照以下量化的评审因素指标对各项要求进行满足性判断：</w:t>
            </w:r>
          </w:p>
          <w:p w14:paraId="6F9EC1C9">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1、方案完整详尽，专业性、可行性强，考虑周全，思路特别清晰，符合项目需求该项得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p w14:paraId="7A4CBC97">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2、对项目总体有一定的认识，方案较为完整、细致，思路基本清晰，基本符合项目需求，该项得</w:t>
            </w:r>
            <w:r>
              <w:rPr>
                <w:rFonts w:hint="eastAsia" w:ascii="仿宋" w:hAnsi="仿宋" w:eastAsia="仿宋" w:cs="仿宋"/>
                <w:color w:val="auto"/>
                <w:sz w:val="21"/>
                <w:szCs w:val="21"/>
                <w:highlight w:val="none"/>
                <w:lang w:val="en-US" w:eastAsia="zh-CN"/>
              </w:rPr>
              <w:t>0.7</w:t>
            </w:r>
            <w:r>
              <w:rPr>
                <w:rFonts w:hint="eastAsia" w:ascii="仿宋" w:hAnsi="仿宋" w:eastAsia="仿宋" w:cs="仿宋"/>
                <w:color w:val="auto"/>
                <w:sz w:val="21"/>
                <w:szCs w:val="21"/>
                <w:highlight w:val="none"/>
              </w:rPr>
              <w:t>分；</w:t>
            </w:r>
          </w:p>
          <w:p w14:paraId="13DDCF2A">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3、方案不细致，欠完善，与项目需求响应度低，项目理解思路一般该项得</w:t>
            </w:r>
            <w:r>
              <w:rPr>
                <w:rFonts w:hint="eastAsia" w:ascii="仿宋" w:hAnsi="仿宋" w:eastAsia="仿宋" w:cs="仿宋"/>
                <w:color w:val="auto"/>
                <w:sz w:val="21"/>
                <w:szCs w:val="21"/>
                <w:highlight w:val="none"/>
                <w:lang w:val="en-US" w:eastAsia="zh-CN"/>
              </w:rPr>
              <w:t>0.4</w:t>
            </w:r>
            <w:r>
              <w:rPr>
                <w:rFonts w:hint="eastAsia" w:ascii="仿宋" w:hAnsi="仿宋" w:eastAsia="仿宋" w:cs="仿宋"/>
                <w:color w:val="auto"/>
                <w:sz w:val="21"/>
                <w:szCs w:val="21"/>
                <w:highlight w:val="none"/>
              </w:rPr>
              <w:t>分。</w:t>
            </w:r>
          </w:p>
          <w:p w14:paraId="1CC69775">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sz w:val="21"/>
                <w:szCs w:val="21"/>
                <w:highlight w:val="none"/>
              </w:rPr>
              <w:t>4、不提供或者经评标委员会认定非常差的不得分。</w:t>
            </w:r>
          </w:p>
        </w:tc>
      </w:tr>
      <w:tr w14:paraId="2F4F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3DDC1828">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47BB76AE">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669B5068">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项目实施方案</w:t>
            </w:r>
          </w:p>
        </w:tc>
        <w:tc>
          <w:tcPr>
            <w:tcW w:w="709" w:type="dxa"/>
            <w:tcBorders>
              <w:top w:val="single" w:color="auto" w:sz="4" w:space="0"/>
              <w:left w:val="single" w:color="auto" w:sz="4" w:space="0"/>
              <w:right w:val="single" w:color="auto" w:sz="4" w:space="0"/>
            </w:tcBorders>
            <w:noWrap w:val="0"/>
            <w:vAlign w:val="center"/>
          </w:tcPr>
          <w:p w14:paraId="58A6187C">
            <w:pPr>
              <w:jc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sz w:val="21"/>
                <w:szCs w:val="21"/>
                <w:highlight w:val="none"/>
                <w:lang w:val="en-US" w:eastAsia="zh-CN"/>
              </w:rPr>
              <w:t>5</w:t>
            </w:r>
          </w:p>
        </w:tc>
        <w:tc>
          <w:tcPr>
            <w:tcW w:w="5726" w:type="dxa"/>
            <w:tcBorders>
              <w:top w:val="single" w:color="auto" w:sz="4" w:space="0"/>
              <w:left w:val="single" w:color="auto" w:sz="4" w:space="0"/>
              <w:right w:val="single" w:color="auto" w:sz="4" w:space="0"/>
            </w:tcBorders>
            <w:noWrap w:val="0"/>
            <w:vAlign w:val="center"/>
          </w:tcPr>
          <w:p w14:paraId="2EDD115C">
            <w:pPr>
              <w:ind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评委根据投标人提供</w:t>
            </w:r>
            <w:r>
              <w:rPr>
                <w:rFonts w:hint="eastAsia" w:ascii="仿宋" w:hAnsi="仿宋" w:eastAsia="仿宋" w:cs="仿宋"/>
                <w:color w:val="auto"/>
                <w:sz w:val="21"/>
                <w:szCs w:val="21"/>
                <w:highlight w:val="none"/>
                <w:lang w:val="en-US" w:eastAsia="zh-CN"/>
              </w:rPr>
              <w:t>的项目实施方案进行评审，提供的方案包含但不限于：包含但不限于实施进度方案、人员组织架构方案、供货验货及安装调试方案、运行测试调优方案、质量保证方案等。</w:t>
            </w:r>
          </w:p>
          <w:p w14:paraId="73B11FFE">
            <w:pPr>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满足以上</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项要求最多得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分；满足任意1项得1分；其余情况不得分。</w:t>
            </w:r>
          </w:p>
          <w:p w14:paraId="1AFC4248">
            <w:pPr>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注：评审委员会根据各供应商的具体响应内容按照以下量化的评审因素指标对各项要求进行满足性判断：</w:t>
            </w:r>
          </w:p>
          <w:p w14:paraId="6F83A6CF">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1、方案完整详尽，专业性、可行性强，考虑周全，思路特别清晰，符合项目需求该项得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p w14:paraId="0D4D31CE">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2、对项目总体有一定的认识，方案较为完整、细致，思路基本清晰，基本符合项目需求，该项得</w:t>
            </w:r>
            <w:r>
              <w:rPr>
                <w:rFonts w:hint="eastAsia" w:ascii="仿宋" w:hAnsi="仿宋" w:eastAsia="仿宋" w:cs="仿宋"/>
                <w:color w:val="auto"/>
                <w:sz w:val="21"/>
                <w:szCs w:val="21"/>
                <w:highlight w:val="none"/>
                <w:lang w:val="en-US" w:eastAsia="zh-CN"/>
              </w:rPr>
              <w:t>0.7</w:t>
            </w:r>
            <w:r>
              <w:rPr>
                <w:rFonts w:hint="eastAsia" w:ascii="仿宋" w:hAnsi="仿宋" w:eastAsia="仿宋" w:cs="仿宋"/>
                <w:color w:val="auto"/>
                <w:sz w:val="21"/>
                <w:szCs w:val="21"/>
                <w:highlight w:val="none"/>
              </w:rPr>
              <w:t>分；</w:t>
            </w:r>
          </w:p>
          <w:p w14:paraId="014402EC">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3、方案不细致，欠完善，与项目需求响应度低，项目理解思路一般该项得</w:t>
            </w:r>
            <w:r>
              <w:rPr>
                <w:rFonts w:hint="eastAsia" w:ascii="仿宋" w:hAnsi="仿宋" w:eastAsia="仿宋" w:cs="仿宋"/>
                <w:color w:val="auto"/>
                <w:sz w:val="21"/>
                <w:szCs w:val="21"/>
                <w:highlight w:val="none"/>
                <w:lang w:val="en-US" w:eastAsia="zh-CN"/>
              </w:rPr>
              <w:t>0.4</w:t>
            </w:r>
            <w:r>
              <w:rPr>
                <w:rFonts w:hint="eastAsia" w:ascii="仿宋" w:hAnsi="仿宋" w:eastAsia="仿宋" w:cs="仿宋"/>
                <w:color w:val="auto"/>
                <w:sz w:val="21"/>
                <w:szCs w:val="21"/>
                <w:highlight w:val="none"/>
              </w:rPr>
              <w:t>分。</w:t>
            </w:r>
          </w:p>
          <w:p w14:paraId="1631011E">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sz w:val="21"/>
                <w:szCs w:val="21"/>
                <w:highlight w:val="none"/>
              </w:rPr>
              <w:t>4、不提供或者经评标委员会认定非常差的不得分。</w:t>
            </w:r>
          </w:p>
        </w:tc>
      </w:tr>
      <w:tr w14:paraId="53EE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0453735A">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475A374C">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43E25A2C">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项目培训方案</w:t>
            </w:r>
          </w:p>
        </w:tc>
        <w:tc>
          <w:tcPr>
            <w:tcW w:w="709" w:type="dxa"/>
            <w:tcBorders>
              <w:top w:val="single" w:color="auto" w:sz="4" w:space="0"/>
              <w:left w:val="single" w:color="auto" w:sz="4" w:space="0"/>
              <w:right w:val="single" w:color="auto" w:sz="4" w:space="0"/>
            </w:tcBorders>
            <w:noWrap w:val="0"/>
            <w:vAlign w:val="center"/>
          </w:tcPr>
          <w:p w14:paraId="1B09129D">
            <w:pPr>
              <w:jc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sz w:val="21"/>
                <w:szCs w:val="21"/>
                <w:highlight w:val="none"/>
                <w:lang w:val="en-US" w:eastAsia="zh-CN"/>
              </w:rPr>
              <w:t>5</w:t>
            </w:r>
          </w:p>
        </w:tc>
        <w:tc>
          <w:tcPr>
            <w:tcW w:w="5726" w:type="dxa"/>
            <w:tcBorders>
              <w:top w:val="single" w:color="auto" w:sz="4" w:space="0"/>
              <w:left w:val="single" w:color="auto" w:sz="4" w:space="0"/>
              <w:right w:val="single" w:color="auto" w:sz="4" w:space="0"/>
            </w:tcBorders>
            <w:noWrap w:val="0"/>
            <w:vAlign w:val="center"/>
          </w:tcPr>
          <w:p w14:paraId="26B10D52">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zh-CN" w:bidi="ar"/>
              </w:rPr>
              <w:t>评委根据</w:t>
            </w:r>
            <w:r>
              <w:rPr>
                <w:rFonts w:hint="eastAsia" w:ascii="仿宋" w:hAnsi="仿宋" w:eastAsia="仿宋" w:cs="仿宋"/>
                <w:color w:val="auto"/>
                <w:kern w:val="0"/>
                <w:sz w:val="21"/>
                <w:szCs w:val="21"/>
                <w:highlight w:val="none"/>
                <w:lang w:val="zh-CN" w:eastAsia="zh-CN" w:bidi="ar"/>
              </w:rPr>
              <w:t>投标人提供</w:t>
            </w:r>
            <w:r>
              <w:rPr>
                <w:rFonts w:hint="eastAsia" w:ascii="仿宋" w:hAnsi="仿宋" w:eastAsia="仿宋" w:cs="仿宋"/>
                <w:color w:val="auto"/>
                <w:kern w:val="0"/>
                <w:sz w:val="21"/>
                <w:szCs w:val="21"/>
                <w:highlight w:val="none"/>
                <w:lang w:val="en-US" w:eastAsia="zh-CN" w:bidi="ar"/>
              </w:rPr>
              <w:t>的</w:t>
            </w:r>
            <w:r>
              <w:rPr>
                <w:rFonts w:hint="eastAsia" w:ascii="仿宋" w:hAnsi="仿宋" w:eastAsia="仿宋" w:cs="仿宋"/>
                <w:color w:val="auto"/>
                <w:sz w:val="21"/>
                <w:szCs w:val="21"/>
                <w:highlight w:val="none"/>
              </w:rPr>
              <w:t>项目培训方案</w:t>
            </w:r>
            <w:r>
              <w:rPr>
                <w:rFonts w:hint="eastAsia" w:ascii="仿宋" w:hAnsi="仿宋" w:eastAsia="仿宋" w:cs="仿宋"/>
                <w:color w:val="auto"/>
                <w:sz w:val="21"/>
                <w:szCs w:val="21"/>
                <w:highlight w:val="none"/>
                <w:lang w:val="en-US" w:eastAsia="zh-CN"/>
              </w:rPr>
              <w:t>进行评审，提供的</w:t>
            </w:r>
            <w:r>
              <w:rPr>
                <w:rFonts w:hint="eastAsia" w:ascii="仿宋" w:hAnsi="仿宋" w:eastAsia="仿宋" w:cs="仿宋"/>
                <w:color w:val="auto"/>
                <w:sz w:val="21"/>
                <w:szCs w:val="21"/>
                <w:highlight w:val="none"/>
              </w:rPr>
              <w:t>方案包含但不限于</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培训需求分析、培训目标、培训计划、培训实施过程、考核与评估等。</w:t>
            </w:r>
          </w:p>
          <w:p w14:paraId="32A8ED62">
            <w:pPr>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满足以上5项要求最多得</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分；满足任意1项得1分；其余情况不得分。</w:t>
            </w:r>
          </w:p>
          <w:p w14:paraId="2CB224FB">
            <w:pPr>
              <w:ind w:firstLine="422" w:firstLineChars="200"/>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注：评审委员会根据各供应商的具体响应内容按照以下量化的评审因素指标对各项要求进行满足性判断：</w:t>
            </w:r>
          </w:p>
          <w:p w14:paraId="32AE7EED">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1、方案完整详尽，专业性、可行性强，考虑周全，思路特别清晰，符合项目需求该项得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p w14:paraId="25F289B7">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2、对项目总体有一定的认识，方案较为完整、细致，思路基本清晰，基本符合项目需求，该项得</w:t>
            </w:r>
            <w:r>
              <w:rPr>
                <w:rFonts w:hint="eastAsia" w:ascii="仿宋" w:hAnsi="仿宋" w:eastAsia="仿宋" w:cs="仿宋"/>
                <w:color w:val="auto"/>
                <w:sz w:val="21"/>
                <w:szCs w:val="21"/>
                <w:highlight w:val="none"/>
                <w:lang w:val="en-US" w:eastAsia="zh-CN"/>
              </w:rPr>
              <w:t>0.7</w:t>
            </w:r>
            <w:r>
              <w:rPr>
                <w:rFonts w:hint="eastAsia" w:ascii="仿宋" w:hAnsi="仿宋" w:eastAsia="仿宋" w:cs="仿宋"/>
                <w:color w:val="auto"/>
                <w:sz w:val="21"/>
                <w:szCs w:val="21"/>
                <w:highlight w:val="none"/>
              </w:rPr>
              <w:t>分；</w:t>
            </w:r>
          </w:p>
          <w:p w14:paraId="08208E8D">
            <w:pPr>
              <w:ind w:firstLine="420" w:firstLineChars="20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3、方案不细致，欠完善，与项目需求响应度低，项目理解思路一般该项得</w:t>
            </w:r>
            <w:r>
              <w:rPr>
                <w:rFonts w:hint="eastAsia" w:ascii="仿宋" w:hAnsi="仿宋" w:eastAsia="仿宋" w:cs="仿宋"/>
                <w:color w:val="auto"/>
                <w:sz w:val="21"/>
                <w:szCs w:val="21"/>
                <w:highlight w:val="none"/>
                <w:lang w:val="en-US" w:eastAsia="zh-CN"/>
              </w:rPr>
              <w:t>0.4</w:t>
            </w:r>
            <w:r>
              <w:rPr>
                <w:rFonts w:hint="eastAsia" w:ascii="仿宋" w:hAnsi="仿宋" w:eastAsia="仿宋" w:cs="仿宋"/>
                <w:color w:val="auto"/>
                <w:sz w:val="21"/>
                <w:szCs w:val="21"/>
                <w:highlight w:val="none"/>
              </w:rPr>
              <w:t>分。</w:t>
            </w:r>
          </w:p>
          <w:p w14:paraId="6095E84E">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sz w:val="21"/>
                <w:szCs w:val="21"/>
                <w:highlight w:val="none"/>
              </w:rPr>
              <w:t>4、不提供或者经评标委员会认定非常差的不得分。</w:t>
            </w:r>
          </w:p>
        </w:tc>
      </w:tr>
      <w:tr w14:paraId="25870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575" w:type="dxa"/>
            <w:vMerge w:val="continue"/>
            <w:tcBorders>
              <w:left w:val="single" w:color="auto" w:sz="4" w:space="0"/>
              <w:right w:val="single" w:color="auto" w:sz="4" w:space="0"/>
            </w:tcBorders>
            <w:noWrap w:val="0"/>
            <w:vAlign w:val="center"/>
          </w:tcPr>
          <w:p w14:paraId="0856277A">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17FFEFE4">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18ED400E">
            <w:pPr>
              <w:widowControl/>
              <w:jc w:val="center"/>
              <w:textAlignment w:val="center"/>
              <w:rPr>
                <w:rFonts w:hint="eastAsia" w:ascii="仿宋" w:hAnsi="仿宋" w:eastAsia="仿宋" w:cs="仿宋"/>
                <w:bCs/>
                <w:color w:val="auto"/>
                <w:sz w:val="21"/>
                <w:szCs w:val="21"/>
                <w:highlight w:val="none"/>
                <w:bdr w:val="dotted" w:color="FF0000" w:sz="6" w:space="0"/>
              </w:rPr>
            </w:pPr>
            <w:r>
              <w:rPr>
                <w:rFonts w:hint="eastAsia" w:ascii="仿宋" w:hAnsi="仿宋" w:eastAsia="仿宋" w:cs="仿宋"/>
                <w:color w:val="auto"/>
                <w:kern w:val="0"/>
                <w:sz w:val="21"/>
                <w:szCs w:val="21"/>
                <w:highlight w:val="none"/>
                <w:lang w:bidi="ar"/>
              </w:rPr>
              <w:t>应急响应方案</w:t>
            </w:r>
          </w:p>
        </w:tc>
        <w:tc>
          <w:tcPr>
            <w:tcW w:w="709" w:type="dxa"/>
            <w:tcBorders>
              <w:top w:val="single" w:color="auto" w:sz="4" w:space="0"/>
              <w:left w:val="single" w:color="auto" w:sz="4" w:space="0"/>
              <w:right w:val="single" w:color="auto" w:sz="4" w:space="0"/>
            </w:tcBorders>
            <w:noWrap w:val="0"/>
            <w:vAlign w:val="center"/>
          </w:tcPr>
          <w:p w14:paraId="51164D11">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p>
        </w:tc>
        <w:tc>
          <w:tcPr>
            <w:tcW w:w="5726" w:type="dxa"/>
            <w:tcBorders>
              <w:top w:val="single" w:color="auto" w:sz="4" w:space="0"/>
              <w:left w:val="single" w:color="auto" w:sz="4" w:space="0"/>
              <w:right w:val="single" w:color="auto" w:sz="4" w:space="0"/>
            </w:tcBorders>
            <w:noWrap w:val="0"/>
            <w:vAlign w:val="center"/>
          </w:tcPr>
          <w:p w14:paraId="43889E57">
            <w:pPr>
              <w:widowControl/>
              <w:ind w:firstLine="420" w:firstLineChars="200"/>
              <w:jc w:val="left"/>
              <w:textAlignment w:val="center"/>
              <w:rPr>
                <w:rFonts w:hint="eastAsia" w:ascii="仿宋" w:hAnsi="仿宋" w:eastAsia="仿宋" w:cs="仿宋"/>
                <w:color w:val="auto"/>
                <w:kern w:val="0"/>
                <w:sz w:val="21"/>
                <w:szCs w:val="21"/>
                <w:highlight w:val="none"/>
                <w:lang w:val="zh-CN" w:eastAsia="zh-CN" w:bidi="ar"/>
              </w:rPr>
            </w:pPr>
            <w:r>
              <w:rPr>
                <w:rFonts w:hint="eastAsia" w:ascii="仿宋" w:hAnsi="仿宋" w:eastAsia="仿宋" w:cs="仿宋"/>
                <w:color w:val="auto"/>
                <w:kern w:val="0"/>
                <w:sz w:val="21"/>
                <w:szCs w:val="21"/>
                <w:highlight w:val="none"/>
                <w:lang w:val="zh-CN" w:bidi="ar"/>
              </w:rPr>
              <w:t>评委根据</w:t>
            </w:r>
            <w:r>
              <w:rPr>
                <w:rFonts w:hint="eastAsia" w:ascii="仿宋" w:hAnsi="仿宋" w:eastAsia="仿宋" w:cs="仿宋"/>
                <w:color w:val="auto"/>
                <w:kern w:val="0"/>
                <w:sz w:val="21"/>
                <w:szCs w:val="21"/>
                <w:highlight w:val="none"/>
                <w:lang w:val="zh-CN" w:eastAsia="zh-CN" w:bidi="ar"/>
              </w:rPr>
              <w:t>投标人提供完善的应急预案及应急响应机制，包括：应急目标、应急原则、应急策略、应尽场景解决方案、应急响应机制等。</w:t>
            </w:r>
          </w:p>
          <w:p w14:paraId="759D2AD5">
            <w:pPr>
              <w:widowControl/>
              <w:ind w:firstLine="422" w:firstLineChars="200"/>
              <w:jc w:val="left"/>
              <w:textAlignment w:val="center"/>
              <w:rPr>
                <w:rFonts w:hint="eastAsia" w:ascii="仿宋" w:hAnsi="仿宋" w:eastAsia="仿宋" w:cs="仿宋"/>
                <w:b/>
                <w:bCs/>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bidi="ar"/>
              </w:rPr>
              <w:t>满足以上</w:t>
            </w:r>
            <w:r>
              <w:rPr>
                <w:rFonts w:hint="eastAsia" w:ascii="仿宋" w:hAnsi="仿宋" w:eastAsia="仿宋" w:cs="仿宋"/>
                <w:b/>
                <w:bCs/>
                <w:color w:val="auto"/>
                <w:kern w:val="0"/>
                <w:sz w:val="21"/>
                <w:szCs w:val="21"/>
                <w:highlight w:val="none"/>
                <w:lang w:val="en-US" w:eastAsia="zh-CN" w:bidi="ar"/>
              </w:rPr>
              <w:t>5</w:t>
            </w:r>
            <w:r>
              <w:rPr>
                <w:rFonts w:hint="eastAsia" w:ascii="仿宋" w:hAnsi="仿宋" w:eastAsia="仿宋" w:cs="仿宋"/>
                <w:b/>
                <w:bCs/>
                <w:color w:val="auto"/>
                <w:kern w:val="0"/>
                <w:sz w:val="21"/>
                <w:szCs w:val="21"/>
                <w:highlight w:val="none"/>
                <w:lang w:val="zh-CN" w:bidi="ar"/>
              </w:rPr>
              <w:t>项要求最多得</w:t>
            </w:r>
            <w:r>
              <w:rPr>
                <w:rFonts w:hint="eastAsia" w:ascii="仿宋" w:hAnsi="仿宋" w:eastAsia="仿宋" w:cs="仿宋"/>
                <w:b/>
                <w:bCs/>
                <w:color w:val="auto"/>
                <w:kern w:val="0"/>
                <w:sz w:val="21"/>
                <w:szCs w:val="21"/>
                <w:highlight w:val="none"/>
                <w:lang w:val="en-US" w:eastAsia="zh-CN" w:bidi="ar"/>
              </w:rPr>
              <w:t>5</w:t>
            </w:r>
            <w:r>
              <w:rPr>
                <w:rFonts w:hint="eastAsia" w:ascii="仿宋" w:hAnsi="仿宋" w:eastAsia="仿宋" w:cs="仿宋"/>
                <w:b/>
                <w:bCs/>
                <w:color w:val="auto"/>
                <w:kern w:val="0"/>
                <w:sz w:val="21"/>
                <w:szCs w:val="21"/>
                <w:highlight w:val="none"/>
                <w:lang w:val="zh-CN" w:bidi="ar"/>
              </w:rPr>
              <w:t>分；满足任意</w:t>
            </w:r>
            <w:r>
              <w:rPr>
                <w:rFonts w:hint="eastAsia" w:ascii="仿宋" w:hAnsi="仿宋" w:eastAsia="仿宋" w:cs="仿宋"/>
                <w:b/>
                <w:bCs/>
                <w:color w:val="auto"/>
                <w:kern w:val="0"/>
                <w:sz w:val="21"/>
                <w:szCs w:val="21"/>
                <w:highlight w:val="none"/>
                <w:lang w:bidi="ar"/>
              </w:rPr>
              <w:t>1</w:t>
            </w:r>
            <w:r>
              <w:rPr>
                <w:rFonts w:hint="eastAsia" w:ascii="仿宋" w:hAnsi="仿宋" w:eastAsia="仿宋" w:cs="仿宋"/>
                <w:b/>
                <w:bCs/>
                <w:color w:val="auto"/>
                <w:kern w:val="0"/>
                <w:sz w:val="21"/>
                <w:szCs w:val="21"/>
                <w:highlight w:val="none"/>
                <w:lang w:val="zh-CN" w:bidi="ar"/>
              </w:rPr>
              <w:t>项得</w:t>
            </w: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val="zh-CN" w:bidi="ar"/>
              </w:rPr>
              <w:t>分；其余情况不得分。</w:t>
            </w:r>
          </w:p>
          <w:p w14:paraId="4EBF169C">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注：评审委员会根据各供应商的具体响应内容按照以下量化的评审因素指标对各项要求进行满足性判断：</w:t>
            </w:r>
          </w:p>
          <w:p w14:paraId="021B4F78">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1、方案完整详尽，专业性、可行性强，考虑周全，思路特别清晰，符合项目需求该项得</w:t>
            </w:r>
            <w:r>
              <w:rPr>
                <w:rFonts w:hint="eastAsia" w:ascii="仿宋" w:hAnsi="仿宋" w:eastAsia="仿宋" w:cs="仿宋"/>
                <w:color w:val="auto"/>
                <w:kern w:val="0"/>
                <w:sz w:val="21"/>
                <w:szCs w:val="21"/>
                <w:highlight w:val="none"/>
                <w:lang w:val="en-US" w:eastAsia="zh-CN" w:bidi="ar"/>
              </w:rPr>
              <w:t>1</w:t>
            </w:r>
            <w:r>
              <w:rPr>
                <w:rFonts w:hint="eastAsia" w:ascii="仿宋" w:hAnsi="仿宋" w:eastAsia="仿宋" w:cs="仿宋"/>
                <w:color w:val="auto"/>
                <w:kern w:val="0"/>
                <w:sz w:val="21"/>
                <w:szCs w:val="21"/>
                <w:highlight w:val="none"/>
                <w:lang w:val="zh-CN" w:bidi="ar"/>
              </w:rPr>
              <w:t>分；</w:t>
            </w:r>
          </w:p>
          <w:p w14:paraId="6B53A2A2">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2、对项目总体有一定的认识，方案较为完整、细致，思路基本清晰，基本符合项目需求，该项得</w:t>
            </w:r>
            <w:r>
              <w:rPr>
                <w:rFonts w:hint="eastAsia" w:ascii="仿宋" w:hAnsi="仿宋" w:eastAsia="仿宋" w:cs="仿宋"/>
                <w:color w:val="auto"/>
                <w:kern w:val="0"/>
                <w:sz w:val="21"/>
                <w:szCs w:val="21"/>
                <w:highlight w:val="none"/>
                <w:lang w:val="en-US" w:eastAsia="zh-CN" w:bidi="ar"/>
              </w:rPr>
              <w:t>0.7</w:t>
            </w:r>
            <w:r>
              <w:rPr>
                <w:rFonts w:hint="eastAsia" w:ascii="仿宋" w:hAnsi="仿宋" w:eastAsia="仿宋" w:cs="仿宋"/>
                <w:color w:val="auto"/>
                <w:kern w:val="0"/>
                <w:sz w:val="21"/>
                <w:szCs w:val="21"/>
                <w:highlight w:val="none"/>
                <w:lang w:val="zh-CN" w:bidi="ar"/>
              </w:rPr>
              <w:t>分；</w:t>
            </w:r>
          </w:p>
          <w:p w14:paraId="6E87C095">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3、方案不细致，欠完善，与项目需求响应度低，项目理解思路一般该项得</w:t>
            </w:r>
            <w:r>
              <w:rPr>
                <w:rFonts w:hint="eastAsia" w:ascii="仿宋" w:hAnsi="仿宋" w:eastAsia="仿宋" w:cs="仿宋"/>
                <w:color w:val="auto"/>
                <w:kern w:val="0"/>
                <w:sz w:val="21"/>
                <w:szCs w:val="21"/>
                <w:highlight w:val="none"/>
                <w:lang w:val="en-US" w:eastAsia="zh-CN" w:bidi="ar"/>
              </w:rPr>
              <w:t>0.4</w:t>
            </w:r>
            <w:r>
              <w:rPr>
                <w:rFonts w:hint="eastAsia" w:ascii="仿宋" w:hAnsi="仿宋" w:eastAsia="仿宋" w:cs="仿宋"/>
                <w:color w:val="auto"/>
                <w:kern w:val="0"/>
                <w:sz w:val="21"/>
                <w:szCs w:val="21"/>
                <w:highlight w:val="none"/>
                <w:lang w:val="zh-CN" w:bidi="ar"/>
              </w:rPr>
              <w:t>分。</w:t>
            </w:r>
          </w:p>
          <w:p w14:paraId="069E71DB">
            <w:pPr>
              <w:widowControl/>
              <w:ind w:firstLine="420" w:firstLineChars="200"/>
              <w:jc w:val="left"/>
              <w:textAlignment w:val="center"/>
              <w:rPr>
                <w:rFonts w:hint="eastAsia" w:ascii="仿宋" w:hAnsi="仿宋" w:eastAsia="仿宋" w:cs="仿宋"/>
                <w:bCs/>
                <w:color w:val="auto"/>
                <w:sz w:val="21"/>
                <w:szCs w:val="21"/>
                <w:highlight w:val="none"/>
              </w:rPr>
            </w:pPr>
            <w:r>
              <w:rPr>
                <w:rFonts w:hint="eastAsia" w:ascii="仿宋" w:hAnsi="仿宋" w:eastAsia="仿宋" w:cs="仿宋"/>
                <w:color w:val="auto"/>
                <w:kern w:val="0"/>
                <w:sz w:val="21"/>
                <w:szCs w:val="21"/>
                <w:highlight w:val="none"/>
                <w:lang w:bidi="ar"/>
              </w:rPr>
              <w:t>4、不提供或者经评标委员会认定非常差的不得分。</w:t>
            </w:r>
          </w:p>
        </w:tc>
      </w:tr>
      <w:tr w14:paraId="624E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575" w:type="dxa"/>
            <w:vMerge w:val="continue"/>
            <w:tcBorders>
              <w:left w:val="single" w:color="auto" w:sz="4" w:space="0"/>
              <w:right w:val="single" w:color="auto" w:sz="4" w:space="0"/>
            </w:tcBorders>
            <w:noWrap w:val="0"/>
            <w:vAlign w:val="center"/>
          </w:tcPr>
          <w:p w14:paraId="317A9CA8">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3E87A579">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right w:val="single" w:color="auto" w:sz="4" w:space="0"/>
            </w:tcBorders>
            <w:noWrap w:val="0"/>
            <w:vAlign w:val="center"/>
          </w:tcPr>
          <w:p w14:paraId="6EDDB744">
            <w:pPr>
              <w:widowControl/>
              <w:jc w:val="center"/>
              <w:textAlignment w:val="center"/>
              <w:rPr>
                <w:rFonts w:hint="eastAsia" w:ascii="仿宋" w:hAnsi="仿宋" w:eastAsia="仿宋" w:cs="仿宋"/>
                <w:bCs/>
                <w:color w:val="auto"/>
                <w:sz w:val="21"/>
                <w:szCs w:val="21"/>
                <w:highlight w:val="none"/>
                <w:bdr w:val="dotted" w:color="FF0000" w:sz="6" w:space="0"/>
              </w:rPr>
            </w:pPr>
            <w:r>
              <w:rPr>
                <w:rFonts w:hint="eastAsia" w:ascii="仿宋" w:hAnsi="仿宋" w:eastAsia="仿宋" w:cs="仿宋"/>
                <w:color w:val="auto"/>
                <w:kern w:val="0"/>
                <w:sz w:val="21"/>
                <w:szCs w:val="21"/>
                <w:highlight w:val="none"/>
                <w:lang w:bidi="ar"/>
              </w:rPr>
              <w:t>售后服务方案</w:t>
            </w:r>
          </w:p>
        </w:tc>
        <w:tc>
          <w:tcPr>
            <w:tcW w:w="709" w:type="dxa"/>
            <w:tcBorders>
              <w:top w:val="single" w:color="auto" w:sz="4" w:space="0"/>
              <w:left w:val="single" w:color="auto" w:sz="4" w:space="0"/>
              <w:right w:val="single" w:color="auto" w:sz="4" w:space="0"/>
            </w:tcBorders>
            <w:noWrap w:val="0"/>
            <w:vAlign w:val="center"/>
          </w:tcPr>
          <w:p w14:paraId="7174A8EF">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p>
        </w:tc>
        <w:tc>
          <w:tcPr>
            <w:tcW w:w="5726" w:type="dxa"/>
            <w:tcBorders>
              <w:top w:val="single" w:color="auto" w:sz="4" w:space="0"/>
              <w:left w:val="single" w:color="auto" w:sz="4" w:space="0"/>
              <w:right w:val="single" w:color="auto" w:sz="4" w:space="0"/>
            </w:tcBorders>
            <w:noWrap w:val="0"/>
            <w:vAlign w:val="center"/>
          </w:tcPr>
          <w:p w14:paraId="1B9508AB">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根据投标人提供的</w:t>
            </w:r>
            <w:r>
              <w:rPr>
                <w:rFonts w:hint="eastAsia" w:ascii="仿宋" w:hAnsi="仿宋" w:eastAsia="仿宋" w:cs="仿宋"/>
                <w:color w:val="auto"/>
                <w:kern w:val="0"/>
                <w:sz w:val="21"/>
                <w:szCs w:val="21"/>
                <w:highlight w:val="none"/>
                <w:lang w:bidi="ar"/>
              </w:rPr>
              <w:t>详细的售后服务方案、质保期后的维修费用清单、维修及响应时间、售后服务优惠承诺、配件及耗材优惠、售后服务保障措施及</w:t>
            </w:r>
            <w:r>
              <w:rPr>
                <w:rFonts w:hint="eastAsia" w:ascii="仿宋" w:hAnsi="仿宋" w:eastAsia="仿宋" w:cs="仿宋"/>
                <w:color w:val="auto"/>
                <w:kern w:val="0"/>
                <w:sz w:val="21"/>
                <w:szCs w:val="21"/>
                <w:highlight w:val="none"/>
                <w:lang w:val="zh-CN" w:bidi="ar"/>
              </w:rPr>
              <w:t xml:space="preserve">运维期内外的后续技术支持和维护能力情况等方面进行打分。 </w:t>
            </w:r>
          </w:p>
          <w:p w14:paraId="75F3BCE1">
            <w:pPr>
              <w:widowControl/>
              <w:ind w:firstLine="422" w:firstLineChars="200"/>
              <w:jc w:val="left"/>
              <w:textAlignment w:val="center"/>
              <w:rPr>
                <w:rFonts w:hint="eastAsia" w:ascii="仿宋" w:hAnsi="仿宋" w:eastAsia="仿宋" w:cs="仿宋"/>
                <w:b/>
                <w:bCs/>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bidi="ar"/>
              </w:rPr>
              <w:t>满足以上</w:t>
            </w:r>
            <w:r>
              <w:rPr>
                <w:rFonts w:hint="eastAsia" w:ascii="仿宋" w:hAnsi="仿宋" w:eastAsia="仿宋" w:cs="仿宋"/>
                <w:b/>
                <w:bCs/>
                <w:color w:val="auto"/>
                <w:kern w:val="0"/>
                <w:sz w:val="21"/>
                <w:szCs w:val="21"/>
                <w:highlight w:val="none"/>
                <w:lang w:bidi="ar"/>
              </w:rPr>
              <w:t>6</w:t>
            </w:r>
            <w:r>
              <w:rPr>
                <w:rFonts w:hint="eastAsia" w:ascii="仿宋" w:hAnsi="仿宋" w:eastAsia="仿宋" w:cs="仿宋"/>
                <w:b/>
                <w:bCs/>
                <w:color w:val="auto"/>
                <w:kern w:val="0"/>
                <w:sz w:val="21"/>
                <w:szCs w:val="21"/>
                <w:highlight w:val="none"/>
                <w:lang w:val="zh-CN" w:bidi="ar"/>
              </w:rPr>
              <w:t>项要求最多得</w:t>
            </w:r>
            <w:r>
              <w:rPr>
                <w:rFonts w:hint="eastAsia" w:ascii="仿宋" w:hAnsi="仿宋" w:eastAsia="仿宋" w:cs="仿宋"/>
                <w:b/>
                <w:bCs/>
                <w:color w:val="auto"/>
                <w:kern w:val="0"/>
                <w:sz w:val="21"/>
                <w:szCs w:val="21"/>
                <w:highlight w:val="none"/>
                <w:lang w:val="en-US" w:eastAsia="zh-CN" w:bidi="ar"/>
              </w:rPr>
              <w:t>6</w:t>
            </w:r>
            <w:r>
              <w:rPr>
                <w:rFonts w:hint="eastAsia" w:ascii="仿宋" w:hAnsi="仿宋" w:eastAsia="仿宋" w:cs="仿宋"/>
                <w:b/>
                <w:bCs/>
                <w:color w:val="auto"/>
                <w:kern w:val="0"/>
                <w:sz w:val="21"/>
                <w:szCs w:val="21"/>
                <w:highlight w:val="none"/>
                <w:lang w:val="zh-CN" w:bidi="ar"/>
              </w:rPr>
              <w:t>分；满足任意</w:t>
            </w:r>
            <w:r>
              <w:rPr>
                <w:rFonts w:hint="eastAsia" w:ascii="仿宋" w:hAnsi="仿宋" w:eastAsia="仿宋" w:cs="仿宋"/>
                <w:b/>
                <w:bCs/>
                <w:color w:val="auto"/>
                <w:kern w:val="0"/>
                <w:sz w:val="21"/>
                <w:szCs w:val="21"/>
                <w:highlight w:val="none"/>
                <w:lang w:bidi="ar"/>
              </w:rPr>
              <w:t>1</w:t>
            </w:r>
            <w:r>
              <w:rPr>
                <w:rFonts w:hint="eastAsia" w:ascii="仿宋" w:hAnsi="仿宋" w:eastAsia="仿宋" w:cs="仿宋"/>
                <w:b/>
                <w:bCs/>
                <w:color w:val="auto"/>
                <w:kern w:val="0"/>
                <w:sz w:val="21"/>
                <w:szCs w:val="21"/>
                <w:highlight w:val="none"/>
                <w:lang w:val="zh-CN" w:bidi="ar"/>
              </w:rPr>
              <w:t>项得</w:t>
            </w: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val="zh-CN" w:bidi="ar"/>
              </w:rPr>
              <w:t>分；其余情况不得分。</w:t>
            </w:r>
          </w:p>
          <w:p w14:paraId="265B65C9">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注：评审委员会根据各供应商的具体响应内容按照以下量化的评审因素指标对各项要求进行满足性判断：</w:t>
            </w:r>
          </w:p>
          <w:p w14:paraId="51081093">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1、方案完整详尽，专业性、可行性强，考虑周全，思路特别清晰，符合项目需求该项得</w:t>
            </w:r>
            <w:r>
              <w:rPr>
                <w:rFonts w:hint="eastAsia" w:ascii="仿宋" w:hAnsi="仿宋" w:eastAsia="仿宋" w:cs="仿宋"/>
                <w:color w:val="auto"/>
                <w:kern w:val="0"/>
                <w:sz w:val="21"/>
                <w:szCs w:val="21"/>
                <w:highlight w:val="none"/>
                <w:lang w:val="en-US" w:eastAsia="zh-CN" w:bidi="ar"/>
              </w:rPr>
              <w:t>1</w:t>
            </w:r>
            <w:r>
              <w:rPr>
                <w:rFonts w:hint="eastAsia" w:ascii="仿宋" w:hAnsi="仿宋" w:eastAsia="仿宋" w:cs="仿宋"/>
                <w:color w:val="auto"/>
                <w:kern w:val="0"/>
                <w:sz w:val="21"/>
                <w:szCs w:val="21"/>
                <w:highlight w:val="none"/>
                <w:lang w:val="zh-CN" w:bidi="ar"/>
              </w:rPr>
              <w:t>分；</w:t>
            </w:r>
          </w:p>
          <w:p w14:paraId="620646DA">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2、对项目总体有一定的认识，方案较为完整、细致，思路基本清晰，基本符合项目需求，该项得</w:t>
            </w:r>
            <w:r>
              <w:rPr>
                <w:rFonts w:hint="eastAsia" w:ascii="仿宋" w:hAnsi="仿宋" w:eastAsia="仿宋" w:cs="仿宋"/>
                <w:color w:val="auto"/>
                <w:kern w:val="0"/>
                <w:sz w:val="21"/>
                <w:szCs w:val="21"/>
                <w:highlight w:val="none"/>
                <w:lang w:val="en-US" w:eastAsia="zh-CN" w:bidi="ar"/>
              </w:rPr>
              <w:t>0.7</w:t>
            </w:r>
            <w:r>
              <w:rPr>
                <w:rFonts w:hint="eastAsia" w:ascii="仿宋" w:hAnsi="仿宋" w:eastAsia="仿宋" w:cs="仿宋"/>
                <w:color w:val="auto"/>
                <w:kern w:val="0"/>
                <w:sz w:val="21"/>
                <w:szCs w:val="21"/>
                <w:highlight w:val="none"/>
                <w:lang w:val="zh-CN" w:bidi="ar"/>
              </w:rPr>
              <w:t>分；</w:t>
            </w:r>
          </w:p>
          <w:p w14:paraId="0DA49B92">
            <w:pPr>
              <w:widowControl/>
              <w:ind w:firstLine="420" w:firstLineChars="200"/>
              <w:jc w:val="left"/>
              <w:textAlignment w:val="center"/>
              <w:rPr>
                <w:rFonts w:hint="eastAsia" w:ascii="仿宋" w:hAnsi="仿宋" w:eastAsia="仿宋" w:cs="仿宋"/>
                <w:color w:val="auto"/>
                <w:kern w:val="0"/>
                <w:sz w:val="21"/>
                <w:szCs w:val="21"/>
                <w:highlight w:val="none"/>
                <w:lang w:val="zh-CN" w:bidi="ar"/>
              </w:rPr>
            </w:pPr>
            <w:r>
              <w:rPr>
                <w:rFonts w:hint="eastAsia" w:ascii="仿宋" w:hAnsi="仿宋" w:eastAsia="仿宋" w:cs="仿宋"/>
                <w:color w:val="auto"/>
                <w:kern w:val="0"/>
                <w:sz w:val="21"/>
                <w:szCs w:val="21"/>
                <w:highlight w:val="none"/>
                <w:lang w:val="zh-CN" w:bidi="ar"/>
              </w:rPr>
              <w:t>3、方案不细致，欠完善，与项目需求响应度低，项目理解思路一般该项得</w:t>
            </w:r>
            <w:r>
              <w:rPr>
                <w:rFonts w:hint="eastAsia" w:ascii="仿宋" w:hAnsi="仿宋" w:eastAsia="仿宋" w:cs="仿宋"/>
                <w:color w:val="auto"/>
                <w:kern w:val="0"/>
                <w:sz w:val="21"/>
                <w:szCs w:val="21"/>
                <w:highlight w:val="none"/>
                <w:lang w:bidi="ar"/>
              </w:rPr>
              <w:t>0.</w:t>
            </w:r>
            <w:r>
              <w:rPr>
                <w:rFonts w:hint="eastAsia" w:ascii="仿宋" w:hAnsi="仿宋" w:eastAsia="仿宋" w:cs="仿宋"/>
                <w:color w:val="auto"/>
                <w:kern w:val="0"/>
                <w:sz w:val="21"/>
                <w:szCs w:val="21"/>
                <w:highlight w:val="none"/>
                <w:lang w:val="en-US" w:eastAsia="zh-CN" w:bidi="ar"/>
              </w:rPr>
              <w:t>4</w:t>
            </w:r>
            <w:r>
              <w:rPr>
                <w:rFonts w:hint="eastAsia" w:ascii="仿宋" w:hAnsi="仿宋" w:eastAsia="仿宋" w:cs="仿宋"/>
                <w:color w:val="auto"/>
                <w:kern w:val="0"/>
                <w:sz w:val="21"/>
                <w:szCs w:val="21"/>
                <w:highlight w:val="none"/>
                <w:lang w:val="zh-CN" w:bidi="ar"/>
              </w:rPr>
              <w:t>分。</w:t>
            </w:r>
          </w:p>
          <w:p w14:paraId="3697E8FB">
            <w:pPr>
              <w:widowControl/>
              <w:ind w:firstLine="420" w:firstLineChars="200"/>
              <w:jc w:val="left"/>
              <w:textAlignment w:val="center"/>
              <w:rPr>
                <w:rFonts w:hint="eastAsia" w:ascii="仿宋" w:hAnsi="仿宋" w:eastAsia="仿宋" w:cs="仿宋"/>
                <w:bCs/>
                <w:color w:val="auto"/>
                <w:sz w:val="21"/>
                <w:szCs w:val="21"/>
                <w:highlight w:val="none"/>
              </w:rPr>
            </w:pPr>
            <w:r>
              <w:rPr>
                <w:rFonts w:hint="eastAsia" w:ascii="仿宋" w:hAnsi="仿宋" w:eastAsia="仿宋" w:cs="仿宋"/>
                <w:color w:val="auto"/>
                <w:kern w:val="0"/>
                <w:sz w:val="21"/>
                <w:szCs w:val="21"/>
                <w:highlight w:val="none"/>
                <w:lang w:bidi="ar"/>
              </w:rPr>
              <w:t>4、不提供或者经评标委员会认定非常差的不得分。</w:t>
            </w:r>
          </w:p>
        </w:tc>
      </w:tr>
      <w:tr w14:paraId="062E3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575" w:type="dxa"/>
            <w:vMerge w:val="restart"/>
            <w:tcBorders>
              <w:left w:val="single" w:color="auto" w:sz="4" w:space="0"/>
              <w:right w:val="single" w:color="auto" w:sz="4" w:space="0"/>
            </w:tcBorders>
            <w:noWrap w:val="0"/>
            <w:vAlign w:val="center"/>
          </w:tcPr>
          <w:p w14:paraId="091518DF">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三</w:t>
            </w:r>
          </w:p>
        </w:tc>
        <w:tc>
          <w:tcPr>
            <w:tcW w:w="1118" w:type="dxa"/>
            <w:vMerge w:val="restart"/>
            <w:tcBorders>
              <w:left w:val="single" w:color="auto" w:sz="4" w:space="0"/>
              <w:right w:val="single" w:color="auto" w:sz="4" w:space="0"/>
            </w:tcBorders>
            <w:noWrap w:val="0"/>
            <w:vAlign w:val="center"/>
          </w:tcPr>
          <w:p w14:paraId="72F969BB">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商务部分</w:t>
            </w:r>
          </w:p>
        </w:tc>
        <w:tc>
          <w:tcPr>
            <w:tcW w:w="1234" w:type="dxa"/>
            <w:tcBorders>
              <w:top w:val="single" w:color="auto" w:sz="4" w:space="0"/>
              <w:left w:val="single" w:color="auto" w:sz="4" w:space="0"/>
              <w:right w:val="single" w:color="auto" w:sz="4" w:space="0"/>
            </w:tcBorders>
            <w:noWrap w:val="0"/>
            <w:vAlign w:val="center"/>
          </w:tcPr>
          <w:p w14:paraId="11EA7405">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信息安全等级</w:t>
            </w:r>
          </w:p>
        </w:tc>
        <w:tc>
          <w:tcPr>
            <w:tcW w:w="709" w:type="dxa"/>
            <w:tcBorders>
              <w:top w:val="single" w:color="auto" w:sz="4" w:space="0"/>
              <w:left w:val="single" w:color="auto" w:sz="4" w:space="0"/>
              <w:right w:val="single" w:color="auto" w:sz="4" w:space="0"/>
            </w:tcBorders>
            <w:noWrap w:val="0"/>
            <w:vAlign w:val="center"/>
          </w:tcPr>
          <w:p w14:paraId="4E2B87C8">
            <w:pPr>
              <w:widowControl/>
              <w:jc w:val="center"/>
              <w:textAlignment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kern w:val="0"/>
                <w:sz w:val="21"/>
                <w:szCs w:val="21"/>
                <w:highlight w:val="none"/>
                <w:lang w:val="en-US" w:eastAsia="zh-CN" w:bidi="ar"/>
              </w:rPr>
              <w:t>2</w:t>
            </w:r>
          </w:p>
        </w:tc>
        <w:tc>
          <w:tcPr>
            <w:tcW w:w="5726" w:type="dxa"/>
            <w:tcBorders>
              <w:top w:val="single" w:color="auto" w:sz="4" w:space="0"/>
              <w:left w:val="single" w:color="auto" w:sz="4" w:space="0"/>
              <w:right w:val="single" w:color="auto" w:sz="4" w:space="0"/>
            </w:tcBorders>
            <w:noWrap w:val="0"/>
            <w:vAlign w:val="top"/>
          </w:tcPr>
          <w:p w14:paraId="48895D71">
            <w:pPr>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投标人或生产厂家获得中华人民共和国公安部监制的信息安全等级保护备案证明，且达到二级及以上系统资格的得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分，没有不得分。</w:t>
            </w:r>
          </w:p>
          <w:p w14:paraId="773F8EAF">
            <w:pPr>
              <w:pStyle w:val="10"/>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注：提供信息安全等级保护备案证明资料扫描件并加盖公章。</w:t>
            </w:r>
          </w:p>
        </w:tc>
      </w:tr>
      <w:tr w14:paraId="14DB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75" w:type="dxa"/>
            <w:vMerge w:val="continue"/>
            <w:tcBorders>
              <w:left w:val="single" w:color="auto" w:sz="4" w:space="0"/>
              <w:right w:val="single" w:color="auto" w:sz="4" w:space="0"/>
            </w:tcBorders>
            <w:noWrap w:val="0"/>
            <w:vAlign w:val="center"/>
          </w:tcPr>
          <w:p w14:paraId="37EA2098">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315B090A">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A57DE00">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val="zh-CN" w:bidi="ar"/>
              </w:rPr>
              <w:t>国产信创支持</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21CF1F">
            <w:pPr>
              <w:widowControl/>
              <w:jc w:val="center"/>
              <w:textAlignment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kern w:val="0"/>
                <w:sz w:val="21"/>
                <w:szCs w:val="21"/>
                <w:highlight w:val="none"/>
                <w:lang w:val="en-US" w:eastAsia="zh-CN" w:bidi="ar"/>
              </w:rPr>
              <w:t>2</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79D21439">
            <w:pPr>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为加强自主创新，强化安全可靠技术和产品应用，推动院校国产化、数字化升级。投标人或</w:t>
            </w:r>
            <w:r>
              <w:rPr>
                <w:rFonts w:hint="eastAsia" w:ascii="仿宋" w:hAnsi="仿宋" w:eastAsia="仿宋" w:cs="仿宋"/>
                <w:color w:val="auto"/>
                <w:sz w:val="21"/>
                <w:szCs w:val="21"/>
                <w:highlight w:val="none"/>
                <w:lang w:val="en-US" w:eastAsia="zh-CN"/>
              </w:rPr>
              <w:t>所投产品厂家</w:t>
            </w:r>
            <w:r>
              <w:rPr>
                <w:rFonts w:hint="eastAsia" w:ascii="仿宋" w:hAnsi="仿宋" w:eastAsia="仿宋" w:cs="仿宋"/>
                <w:color w:val="auto"/>
                <w:sz w:val="21"/>
                <w:szCs w:val="21"/>
                <w:highlight w:val="none"/>
              </w:rPr>
              <w:t>具有国产信创认证(包含不限于操作系统、数据库、服务器)，每</w:t>
            </w:r>
            <w:r>
              <w:rPr>
                <w:rFonts w:hint="eastAsia" w:ascii="仿宋" w:hAnsi="仿宋" w:eastAsia="仿宋" w:cs="仿宋"/>
                <w:color w:val="auto"/>
                <w:sz w:val="21"/>
                <w:szCs w:val="21"/>
                <w:highlight w:val="none"/>
                <w:lang w:val="en-US" w:eastAsia="zh-CN"/>
              </w:rPr>
              <w:t>提供</w:t>
            </w:r>
            <w:r>
              <w:rPr>
                <w:rFonts w:hint="eastAsia" w:ascii="仿宋" w:hAnsi="仿宋" w:eastAsia="仿宋" w:cs="仿宋"/>
                <w:color w:val="auto"/>
                <w:sz w:val="21"/>
                <w:szCs w:val="21"/>
                <w:highlight w:val="none"/>
              </w:rPr>
              <w:t>一类</w:t>
            </w:r>
            <w:r>
              <w:rPr>
                <w:rFonts w:hint="eastAsia" w:ascii="仿宋" w:hAnsi="仿宋" w:eastAsia="仿宋" w:cs="仿宋"/>
                <w:color w:val="auto"/>
                <w:sz w:val="21"/>
                <w:szCs w:val="21"/>
                <w:highlight w:val="none"/>
                <w:lang w:val="en-US" w:eastAsia="zh-CN"/>
              </w:rPr>
              <w:t>得</w:t>
            </w:r>
            <w:r>
              <w:rPr>
                <w:rFonts w:hint="eastAsia" w:ascii="仿宋" w:hAnsi="仿宋" w:eastAsia="仿宋" w:cs="仿宋"/>
                <w:color w:val="auto"/>
                <w:sz w:val="21"/>
                <w:szCs w:val="21"/>
                <w:highlight w:val="none"/>
              </w:rPr>
              <w:t>1分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满分2分</w:t>
            </w:r>
            <w:r>
              <w:rPr>
                <w:rFonts w:hint="eastAsia" w:ascii="仿宋" w:hAnsi="仿宋" w:eastAsia="仿宋" w:cs="仿宋"/>
                <w:color w:val="auto"/>
                <w:sz w:val="21"/>
                <w:szCs w:val="21"/>
                <w:highlight w:val="none"/>
              </w:rPr>
              <w:t>。</w:t>
            </w:r>
          </w:p>
          <w:p w14:paraId="410A8686">
            <w:pPr>
              <w:ind w:firstLine="420" w:firstLineChars="200"/>
              <w:rPr>
                <w:rFonts w:hint="eastAsia" w:ascii="仿宋" w:hAnsi="仿宋" w:eastAsia="仿宋" w:cs="仿宋"/>
                <w:color w:val="auto"/>
                <w:kern w:val="0"/>
                <w:sz w:val="21"/>
                <w:szCs w:val="21"/>
                <w:highlight w:val="none"/>
                <w:lang w:bidi="ar"/>
              </w:rPr>
            </w:pPr>
            <w:r>
              <w:rPr>
                <w:rFonts w:hint="eastAsia" w:ascii="仿宋" w:hAnsi="仿宋" w:eastAsia="仿宋" w:cs="仿宋"/>
                <w:color w:val="auto"/>
                <w:sz w:val="21"/>
                <w:szCs w:val="21"/>
                <w:highlight w:val="none"/>
              </w:rPr>
              <w:t>注：</w:t>
            </w:r>
            <w:r>
              <w:rPr>
                <w:rFonts w:hint="eastAsia" w:ascii="仿宋" w:hAnsi="仿宋" w:eastAsia="仿宋" w:cs="仿宋"/>
                <w:color w:val="auto"/>
                <w:sz w:val="21"/>
                <w:szCs w:val="21"/>
                <w:highlight w:val="none"/>
                <w:lang w:val="zh-CN"/>
              </w:rPr>
              <w:t>提供</w:t>
            </w:r>
            <w:r>
              <w:rPr>
                <w:rFonts w:hint="eastAsia" w:ascii="仿宋" w:hAnsi="仿宋" w:eastAsia="仿宋" w:cs="仿宋"/>
                <w:color w:val="auto"/>
                <w:sz w:val="21"/>
                <w:szCs w:val="21"/>
                <w:highlight w:val="none"/>
              </w:rPr>
              <w:t>有效期内</w:t>
            </w:r>
            <w:r>
              <w:rPr>
                <w:rFonts w:hint="eastAsia" w:ascii="仿宋" w:hAnsi="仿宋" w:eastAsia="仿宋" w:cs="仿宋"/>
                <w:color w:val="auto"/>
                <w:sz w:val="21"/>
                <w:szCs w:val="21"/>
                <w:highlight w:val="none"/>
                <w:lang w:val="zh-CN"/>
              </w:rPr>
              <w:t>产品通过</w:t>
            </w:r>
            <w:r>
              <w:rPr>
                <w:rFonts w:hint="eastAsia" w:ascii="仿宋" w:hAnsi="仿宋" w:eastAsia="仿宋" w:cs="仿宋"/>
                <w:color w:val="auto"/>
                <w:sz w:val="21"/>
                <w:szCs w:val="21"/>
                <w:highlight w:val="none"/>
              </w:rPr>
              <w:t>国产信创认证</w:t>
            </w:r>
            <w:r>
              <w:rPr>
                <w:rFonts w:hint="eastAsia" w:ascii="仿宋" w:hAnsi="仿宋" w:eastAsia="仿宋" w:cs="仿宋"/>
                <w:color w:val="auto"/>
                <w:sz w:val="21"/>
                <w:szCs w:val="21"/>
                <w:highlight w:val="none"/>
                <w:lang w:val="zh-CN"/>
              </w:rPr>
              <w:t>证明资料扫描件。</w:t>
            </w:r>
          </w:p>
        </w:tc>
      </w:tr>
      <w:tr w14:paraId="682A6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75" w:type="dxa"/>
            <w:vMerge w:val="continue"/>
            <w:tcBorders>
              <w:left w:val="single" w:color="auto" w:sz="4" w:space="0"/>
              <w:right w:val="single" w:color="auto" w:sz="4" w:space="0"/>
            </w:tcBorders>
            <w:noWrap w:val="0"/>
            <w:vAlign w:val="center"/>
          </w:tcPr>
          <w:p w14:paraId="493937E7">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68AFFD8C">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8EE1C1F">
            <w:pPr>
              <w:widowControl/>
              <w:jc w:val="center"/>
              <w:textAlignment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kern w:val="0"/>
                <w:sz w:val="21"/>
                <w:szCs w:val="21"/>
                <w:highlight w:val="none"/>
                <w:lang w:bidi="ar"/>
              </w:rPr>
              <w:t>业绩</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D3D35B">
            <w:pPr>
              <w:widowControl/>
              <w:jc w:val="center"/>
              <w:textAlignment w:val="center"/>
              <w:rPr>
                <w:rFonts w:hint="eastAsia" w:ascii="仿宋" w:hAnsi="仿宋" w:eastAsia="仿宋" w:cs="仿宋"/>
                <w:color w:val="auto"/>
                <w:kern w:val="0"/>
                <w:sz w:val="21"/>
                <w:szCs w:val="21"/>
                <w:highlight w:val="none"/>
                <w:lang w:eastAsia="zh-CN" w:bidi="ar"/>
              </w:rPr>
            </w:pPr>
            <w:r>
              <w:rPr>
                <w:rFonts w:hint="eastAsia" w:ascii="仿宋" w:hAnsi="仿宋" w:eastAsia="仿宋" w:cs="仿宋"/>
                <w:color w:val="auto"/>
                <w:kern w:val="0"/>
                <w:sz w:val="21"/>
                <w:szCs w:val="21"/>
                <w:highlight w:val="none"/>
                <w:lang w:val="en-US" w:eastAsia="zh-CN" w:bidi="ar"/>
              </w:rPr>
              <w:t>2</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738A4BCE">
            <w:pPr>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投标供应商或所投产品厂家自202</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年1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月1日以来具有类似案例的，每提供1个得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分，满分</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w:t>
            </w:r>
          </w:p>
          <w:p w14:paraId="0CA4FB0C">
            <w:pPr>
              <w:ind w:firstLine="420" w:firstLineChars="200"/>
              <w:rPr>
                <w:rFonts w:hint="eastAsia" w:ascii="仿宋" w:hAnsi="仿宋" w:eastAsia="仿宋" w:cs="仿宋"/>
                <w:color w:val="auto"/>
                <w:kern w:val="0"/>
                <w:sz w:val="21"/>
                <w:szCs w:val="21"/>
                <w:highlight w:val="none"/>
                <w:lang w:bidi="ar"/>
              </w:rPr>
            </w:pPr>
            <w:r>
              <w:rPr>
                <w:rFonts w:hint="eastAsia" w:ascii="仿宋" w:hAnsi="仿宋" w:eastAsia="仿宋" w:cs="仿宋"/>
                <w:color w:val="auto"/>
                <w:sz w:val="21"/>
                <w:szCs w:val="21"/>
                <w:highlight w:val="none"/>
              </w:rPr>
              <w:t>注：须提供合同原件扫描件（包括但不限于合同首页、合同金额页、合同盖章页及显示项目名称、项目内容等相关页）。相关资料成交供应商合同签订前核查。</w:t>
            </w:r>
          </w:p>
        </w:tc>
      </w:tr>
      <w:tr w14:paraId="6498A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75" w:type="dxa"/>
            <w:vMerge w:val="continue"/>
            <w:tcBorders>
              <w:left w:val="single" w:color="auto" w:sz="4" w:space="0"/>
              <w:right w:val="single" w:color="auto" w:sz="4" w:space="0"/>
            </w:tcBorders>
            <w:noWrap w:val="0"/>
            <w:vAlign w:val="center"/>
          </w:tcPr>
          <w:p w14:paraId="164B0E16">
            <w:pPr>
              <w:widowControl/>
              <w:jc w:val="center"/>
              <w:textAlignment w:val="center"/>
              <w:rPr>
                <w:rFonts w:hint="eastAsia" w:ascii="仿宋" w:hAnsi="仿宋" w:eastAsia="仿宋" w:cs="仿宋"/>
                <w:color w:val="auto"/>
                <w:kern w:val="0"/>
                <w:sz w:val="21"/>
                <w:szCs w:val="21"/>
                <w:highlight w:val="none"/>
                <w:lang w:bidi="ar"/>
              </w:rPr>
            </w:pPr>
          </w:p>
        </w:tc>
        <w:tc>
          <w:tcPr>
            <w:tcW w:w="1118" w:type="dxa"/>
            <w:vMerge w:val="continue"/>
            <w:tcBorders>
              <w:left w:val="single" w:color="auto" w:sz="4" w:space="0"/>
              <w:right w:val="single" w:color="auto" w:sz="4" w:space="0"/>
            </w:tcBorders>
            <w:noWrap w:val="0"/>
            <w:vAlign w:val="center"/>
          </w:tcPr>
          <w:p w14:paraId="74E1FA53">
            <w:pPr>
              <w:widowControl/>
              <w:jc w:val="center"/>
              <w:textAlignment w:val="center"/>
              <w:rPr>
                <w:rFonts w:hint="eastAsia" w:ascii="仿宋" w:hAnsi="仿宋" w:eastAsia="仿宋" w:cs="仿宋"/>
                <w:color w:val="auto"/>
                <w:kern w:val="0"/>
                <w:sz w:val="21"/>
                <w:szCs w:val="21"/>
                <w:highlight w:val="none"/>
                <w:lang w:bidi="ar"/>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706D1169">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kern w:val="0"/>
                <w:sz w:val="21"/>
                <w:szCs w:val="21"/>
                <w:highlight w:val="none"/>
                <w:lang w:bidi="ar"/>
              </w:rPr>
            </w:pPr>
            <w:r>
              <w:rPr>
                <w:rFonts w:hint="eastAsia" w:ascii="仿宋" w:hAnsi="仿宋" w:eastAsia="仿宋" w:cs="仿宋"/>
                <w:color w:val="auto"/>
                <w:sz w:val="21"/>
                <w:szCs w:val="21"/>
                <w:highlight w:val="none"/>
              </w:rPr>
              <w:t>节能环保</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D12FCF2">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val="0"/>
                <w:bCs w:val="0"/>
                <w:color w:val="auto"/>
                <w:sz w:val="21"/>
                <w:szCs w:val="21"/>
                <w:highlight w:val="none"/>
                <w:lang w:val="en-US" w:eastAsia="zh-CN"/>
              </w:rPr>
              <w:t>2</w:t>
            </w:r>
          </w:p>
        </w:tc>
        <w:tc>
          <w:tcPr>
            <w:tcW w:w="5726" w:type="dxa"/>
            <w:tcBorders>
              <w:top w:val="single" w:color="auto" w:sz="4" w:space="0"/>
              <w:left w:val="single" w:color="auto" w:sz="4" w:space="0"/>
              <w:bottom w:val="single" w:color="auto" w:sz="4" w:space="0"/>
              <w:right w:val="single" w:color="auto" w:sz="4" w:space="0"/>
            </w:tcBorders>
            <w:noWrap w:val="0"/>
            <w:vAlign w:val="center"/>
          </w:tcPr>
          <w:p w14:paraId="660106F9">
            <w:pPr>
              <w:keepNext w:val="0"/>
              <w:keepLines w:val="0"/>
              <w:pageBreakBefore w:val="0"/>
              <w:kinsoku/>
              <w:wordWrap/>
              <w:overflowPunct/>
              <w:topLinePunct w:val="0"/>
              <w:autoSpaceDE/>
              <w:autoSpaceDN/>
              <w:bidi w:val="0"/>
              <w:adjustRightInd/>
              <w:snapToGrid/>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p>
          <w:p w14:paraId="72829383">
            <w:pPr>
              <w:keepNext w:val="0"/>
              <w:keepLines w:val="0"/>
              <w:pageBreakBefore w:val="0"/>
              <w:kinsoku/>
              <w:wordWrap/>
              <w:overflowPunct/>
              <w:topLinePunct w:val="0"/>
              <w:autoSpaceDE/>
              <w:autoSpaceDN/>
              <w:bidi w:val="0"/>
              <w:adjustRightInd/>
              <w:snapToGrid/>
              <w:spacing w:line="240" w:lineRule="exact"/>
              <w:ind w:firstLine="420" w:firstLineChars="0"/>
              <w:jc w:val="left"/>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2、投标产品属于财政部、生态环境部公布的“环境标志产品品目清单”范围内的，投标人提供国家确定的认证机构出具的、处于有效期内的该环保产品认证证书原件彩色扫描件的，有1个得0.5分，最多得1分。</w:t>
            </w:r>
          </w:p>
        </w:tc>
      </w:tr>
    </w:tbl>
    <w:p w14:paraId="102109B4">
      <w:pPr>
        <w:rPr>
          <w:rFonts w:hint="eastAsia" w:ascii="宋体" w:hAnsi="宋体" w:eastAsia="宋体" w:cs="宋体"/>
          <w:color w:val="auto"/>
          <w:sz w:val="24"/>
          <w:szCs w:val="24"/>
          <w:highlight w:val="none"/>
        </w:rPr>
      </w:pPr>
    </w:p>
    <w:p w14:paraId="21D5FDC1">
      <w:pPr>
        <w:pStyle w:val="13"/>
        <w:keepNext/>
        <w:spacing w:beforeAutospacing="0" w:afterAutospacing="0"/>
        <w:jc w:val="center"/>
        <w:rPr>
          <w:rFonts w:hint="eastAsia" w:ascii="黑体" w:hAnsi="宋体" w:eastAsia="黑体" w:cs="黑体"/>
          <w:color w:val="auto"/>
          <w:sz w:val="44"/>
          <w:szCs w:val="44"/>
          <w:highlight w:val="none"/>
        </w:rPr>
      </w:pPr>
    </w:p>
    <w:p w14:paraId="01AC4730">
      <w:pPr>
        <w:pStyle w:val="13"/>
        <w:keepNext/>
        <w:spacing w:beforeAutospacing="0" w:afterAutospacing="0"/>
        <w:jc w:val="center"/>
        <w:rPr>
          <w:rFonts w:hint="eastAsia" w:ascii="黑体" w:hAnsi="宋体" w:eastAsia="黑体" w:cs="黑体"/>
          <w:color w:val="auto"/>
          <w:sz w:val="44"/>
          <w:szCs w:val="44"/>
          <w:highlight w:val="none"/>
        </w:rPr>
      </w:pPr>
    </w:p>
    <w:p w14:paraId="509F157B">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BCE191F">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B3E6795">
      <w:pPr>
        <w:pStyle w:val="13"/>
        <w:spacing w:beforeAutospacing="0" w:afterAutospacing="0"/>
        <w:jc w:val="center"/>
        <w:rPr>
          <w:rFonts w:hint="eastAsia" w:ascii="宋体" w:hAnsi="宋体" w:eastAsia="宋体" w:cs="宋体"/>
          <w:b/>
          <w:color w:val="auto"/>
          <w:sz w:val="72"/>
          <w:szCs w:val="72"/>
          <w:highlight w:val="none"/>
        </w:rPr>
      </w:pPr>
      <w:bookmarkStart w:id="184" w:name="_Toc49090576"/>
      <w:bookmarkEnd w:id="184"/>
      <w:bookmarkStart w:id="185" w:name="_Toc120614282"/>
      <w:bookmarkEnd w:id="185"/>
      <w:bookmarkStart w:id="186" w:name="_Hlt26955039"/>
      <w:bookmarkStart w:id="187" w:name="_Toc26554094"/>
      <w:bookmarkStart w:id="188" w:name="_Hlt26671244"/>
    </w:p>
    <w:p w14:paraId="473AAE7D">
      <w:pPr>
        <w:pStyle w:val="13"/>
        <w:spacing w:beforeAutospacing="0" w:afterAutospacing="0"/>
        <w:jc w:val="center"/>
        <w:rPr>
          <w:rFonts w:hint="eastAsia" w:ascii="宋体" w:hAnsi="宋体" w:eastAsia="宋体" w:cs="宋体"/>
          <w:b/>
          <w:color w:val="auto"/>
          <w:sz w:val="72"/>
          <w:szCs w:val="72"/>
          <w:highlight w:val="none"/>
        </w:rPr>
      </w:pPr>
    </w:p>
    <w:p w14:paraId="26CE8538">
      <w:pPr>
        <w:pStyle w:val="13"/>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08DFB753">
      <w:pPr>
        <w:pStyle w:val="13"/>
        <w:spacing w:beforeAutospacing="0" w:afterAutospacing="0"/>
        <w:jc w:val="center"/>
        <w:rPr>
          <w:color w:val="auto"/>
          <w:highlight w:val="none"/>
        </w:rPr>
      </w:pPr>
      <w:r>
        <w:rPr>
          <w:color w:val="auto"/>
          <w:highlight w:val="none"/>
        </w:rPr>
        <w:t> </w:t>
      </w:r>
    </w:p>
    <w:p w14:paraId="0751278E">
      <w:pPr>
        <w:pStyle w:val="13"/>
        <w:spacing w:beforeAutospacing="0" w:afterAutospacing="0"/>
        <w:jc w:val="center"/>
        <w:rPr>
          <w:color w:val="auto"/>
          <w:highlight w:val="none"/>
        </w:rPr>
      </w:pPr>
      <w:r>
        <w:rPr>
          <w:color w:val="auto"/>
          <w:highlight w:val="none"/>
        </w:rPr>
        <w:t> </w:t>
      </w:r>
    </w:p>
    <w:p w14:paraId="28ECF52A">
      <w:pPr>
        <w:pStyle w:val="13"/>
        <w:spacing w:beforeAutospacing="0" w:afterAutospacing="0"/>
        <w:jc w:val="center"/>
        <w:rPr>
          <w:color w:val="auto"/>
          <w:highlight w:val="none"/>
        </w:rPr>
      </w:pPr>
      <w:r>
        <w:rPr>
          <w:color w:val="auto"/>
          <w:highlight w:val="none"/>
        </w:rPr>
        <w:t> </w:t>
      </w:r>
    </w:p>
    <w:p w14:paraId="712956EB">
      <w:pPr>
        <w:pStyle w:val="13"/>
        <w:spacing w:beforeAutospacing="0" w:afterAutospacing="0"/>
        <w:jc w:val="center"/>
        <w:rPr>
          <w:color w:val="auto"/>
          <w:highlight w:val="none"/>
        </w:rPr>
      </w:pPr>
    </w:p>
    <w:p w14:paraId="5D90F06D">
      <w:pPr>
        <w:pStyle w:val="13"/>
        <w:spacing w:beforeAutospacing="0" w:afterAutospacing="0"/>
        <w:jc w:val="center"/>
        <w:rPr>
          <w:color w:val="auto"/>
          <w:highlight w:val="none"/>
        </w:rPr>
      </w:pPr>
    </w:p>
    <w:p w14:paraId="623955DF">
      <w:pPr>
        <w:pStyle w:val="13"/>
        <w:spacing w:beforeAutospacing="0" w:afterAutospacing="0"/>
        <w:jc w:val="center"/>
        <w:rPr>
          <w:color w:val="auto"/>
          <w:highlight w:val="none"/>
        </w:rPr>
      </w:pPr>
    </w:p>
    <w:p w14:paraId="428E317E">
      <w:pPr>
        <w:pStyle w:val="13"/>
        <w:spacing w:beforeAutospacing="0" w:afterAutospacing="0"/>
        <w:jc w:val="center"/>
        <w:rPr>
          <w:color w:val="auto"/>
          <w:highlight w:val="none"/>
        </w:rPr>
      </w:pPr>
    </w:p>
    <w:p w14:paraId="19855F59">
      <w:pPr>
        <w:pStyle w:val="13"/>
        <w:spacing w:beforeAutospacing="0" w:afterAutospacing="0"/>
        <w:jc w:val="center"/>
        <w:rPr>
          <w:color w:val="auto"/>
          <w:highlight w:val="none"/>
        </w:rPr>
      </w:pPr>
    </w:p>
    <w:p w14:paraId="226BF2C0">
      <w:pPr>
        <w:pStyle w:val="13"/>
        <w:spacing w:beforeAutospacing="0" w:afterAutospacing="0"/>
        <w:jc w:val="center"/>
        <w:rPr>
          <w:color w:val="auto"/>
          <w:highlight w:val="none"/>
        </w:rPr>
      </w:pPr>
    </w:p>
    <w:p w14:paraId="07C13F79">
      <w:pPr>
        <w:pStyle w:val="13"/>
        <w:spacing w:beforeAutospacing="0" w:afterAutospacing="0"/>
        <w:jc w:val="center"/>
        <w:rPr>
          <w:color w:val="auto"/>
          <w:highlight w:val="none"/>
        </w:rPr>
      </w:pPr>
    </w:p>
    <w:p w14:paraId="10BDB5ED">
      <w:pPr>
        <w:pStyle w:val="13"/>
        <w:spacing w:beforeAutospacing="0" w:afterAutospacing="0"/>
        <w:jc w:val="center"/>
        <w:rPr>
          <w:color w:val="auto"/>
          <w:highlight w:val="none"/>
        </w:rPr>
      </w:pPr>
    </w:p>
    <w:p w14:paraId="179EB059">
      <w:pPr>
        <w:pStyle w:val="13"/>
        <w:spacing w:beforeAutospacing="0" w:afterAutospacing="0"/>
        <w:jc w:val="center"/>
        <w:rPr>
          <w:color w:val="auto"/>
          <w:highlight w:val="none"/>
        </w:rPr>
      </w:pPr>
    </w:p>
    <w:p w14:paraId="4A8772C3">
      <w:pPr>
        <w:pStyle w:val="13"/>
        <w:spacing w:beforeAutospacing="0" w:afterAutospacing="0"/>
        <w:jc w:val="center"/>
        <w:rPr>
          <w:color w:val="auto"/>
          <w:highlight w:val="none"/>
        </w:rPr>
      </w:pPr>
    </w:p>
    <w:p w14:paraId="53D63F0F">
      <w:pPr>
        <w:pStyle w:val="13"/>
        <w:spacing w:beforeAutospacing="0" w:afterAutospacing="0"/>
        <w:jc w:val="center"/>
        <w:rPr>
          <w:color w:val="auto"/>
          <w:highlight w:val="none"/>
        </w:rPr>
      </w:pPr>
    </w:p>
    <w:p w14:paraId="24C138A5">
      <w:pPr>
        <w:pStyle w:val="13"/>
        <w:spacing w:beforeAutospacing="0" w:afterAutospacing="0"/>
        <w:jc w:val="center"/>
        <w:rPr>
          <w:color w:val="auto"/>
          <w:highlight w:val="none"/>
        </w:rPr>
      </w:pPr>
    </w:p>
    <w:p w14:paraId="642B6BB5">
      <w:pPr>
        <w:pStyle w:val="13"/>
        <w:spacing w:beforeAutospacing="0" w:afterAutospacing="0"/>
        <w:jc w:val="center"/>
        <w:rPr>
          <w:color w:val="auto"/>
          <w:highlight w:val="none"/>
        </w:rPr>
      </w:pPr>
    </w:p>
    <w:p w14:paraId="502372ED">
      <w:pPr>
        <w:pStyle w:val="13"/>
        <w:spacing w:beforeAutospacing="0" w:afterAutospacing="0"/>
        <w:jc w:val="center"/>
        <w:rPr>
          <w:color w:val="auto"/>
          <w:highlight w:val="none"/>
        </w:rPr>
      </w:pPr>
    </w:p>
    <w:p w14:paraId="26A88DFC">
      <w:pPr>
        <w:pStyle w:val="13"/>
        <w:spacing w:beforeAutospacing="0" w:afterAutospacing="0"/>
        <w:jc w:val="center"/>
        <w:rPr>
          <w:color w:val="auto"/>
          <w:highlight w:val="none"/>
        </w:rPr>
      </w:pPr>
      <w:r>
        <w:rPr>
          <w:color w:val="auto"/>
          <w:highlight w:val="none"/>
        </w:rPr>
        <w:t> </w:t>
      </w:r>
    </w:p>
    <w:p w14:paraId="4DEBEBD1">
      <w:pPr>
        <w:pStyle w:val="13"/>
        <w:spacing w:beforeAutospacing="0" w:afterAutospacing="0"/>
        <w:jc w:val="center"/>
        <w:rPr>
          <w:color w:val="auto"/>
          <w:highlight w:val="none"/>
        </w:rPr>
      </w:pPr>
      <w:r>
        <w:rPr>
          <w:color w:val="auto"/>
          <w:highlight w:val="none"/>
        </w:rPr>
        <w:t> </w:t>
      </w:r>
    </w:p>
    <w:p w14:paraId="0BC43EB9">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28289842">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75BA763A">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p>
    <w:p w14:paraId="6FE6F899">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33A9EF5B">
      <w:pPr>
        <w:pStyle w:val="13"/>
        <w:spacing w:beforeAutospacing="0" w:afterAutospacing="0" w:line="0" w:lineRule="atLeast"/>
        <w:jc w:val="center"/>
        <w:rPr>
          <w:color w:val="auto"/>
          <w:highlight w:val="none"/>
        </w:rPr>
      </w:pPr>
    </w:p>
    <w:p w14:paraId="1E260EFD">
      <w:pPr>
        <w:pStyle w:val="13"/>
        <w:spacing w:beforeAutospacing="0" w:afterAutospacing="0" w:line="0" w:lineRule="atLeast"/>
        <w:jc w:val="center"/>
        <w:rPr>
          <w:color w:val="auto"/>
          <w:highlight w:val="none"/>
        </w:rPr>
      </w:pPr>
    </w:p>
    <w:p w14:paraId="2FE6EA00">
      <w:pPr>
        <w:pStyle w:val="1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0118C30A">
      <w:pPr>
        <w:pStyle w:val="13"/>
        <w:spacing w:beforeAutospacing="0" w:afterAutospacing="0" w:line="360" w:lineRule="auto"/>
        <w:jc w:val="center"/>
        <w:rPr>
          <w:color w:val="auto"/>
          <w:highlight w:val="none"/>
        </w:rPr>
      </w:pPr>
      <w:r>
        <w:rPr>
          <w:color w:val="auto"/>
          <w:highlight w:val="none"/>
        </w:rPr>
        <w:t> </w:t>
      </w:r>
    </w:p>
    <w:p w14:paraId="49637103">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一、法人或者其他组织的营业执照等证明文件，自然人的身份证明</w:t>
      </w:r>
    </w:p>
    <w:p w14:paraId="5570E115">
      <w:pPr>
        <w:tabs>
          <w:tab w:val="left" w:pos="1331"/>
        </w:tabs>
        <w:spacing w:line="440" w:lineRule="exact"/>
        <w:ind w:firstLine="560" w:firstLineChars="200"/>
        <w:jc w:val="left"/>
        <w:rPr>
          <w:i/>
          <w:color w:val="auto"/>
          <w:sz w:val="28"/>
          <w:szCs w:val="28"/>
          <w:highlight w:val="none"/>
          <w:u w:val="single"/>
        </w:rPr>
      </w:pPr>
      <w:r>
        <w:rPr>
          <w:rFonts w:hint="eastAsia" w:ascii="宋体" w:hAnsi="宋体" w:cs="宋体"/>
          <w:i/>
          <w:color w:val="auto"/>
          <w:kern w:val="0"/>
          <w:sz w:val="28"/>
          <w:szCs w:val="28"/>
          <w:highlight w:val="none"/>
          <w:u w:val="single"/>
        </w:rPr>
        <w:t>二、</w:t>
      </w:r>
      <w:r>
        <w:rPr>
          <w:rFonts w:hint="eastAsia" w:ascii="宋体" w:hAnsi="宋体" w:cs="宋体"/>
          <w:i/>
          <w:color w:val="auto"/>
          <w:kern w:val="0"/>
          <w:sz w:val="28"/>
          <w:szCs w:val="28"/>
          <w:highlight w:val="none"/>
          <w:u w:val="single"/>
          <w:lang w:eastAsia="zh-CN"/>
        </w:rPr>
        <w:t>上一年度或上上年度的财务状况报表</w:t>
      </w:r>
      <w:r>
        <w:rPr>
          <w:rFonts w:hint="eastAsia" w:ascii="宋体" w:hAnsi="宋体" w:cs="宋体"/>
          <w:i/>
          <w:color w:val="auto"/>
          <w:kern w:val="0"/>
          <w:sz w:val="28"/>
          <w:szCs w:val="28"/>
          <w:highlight w:val="none"/>
          <w:u w:val="single"/>
        </w:rPr>
        <w:t>（至少提供资产负债表、利润表、现金流量表，</w:t>
      </w:r>
      <w:r>
        <w:rPr>
          <w:rFonts w:hint="eastAsia" w:ascii="宋体" w:hAnsi="宋体" w:cs="宋体"/>
          <w:i/>
          <w:color w:val="auto"/>
          <w:sz w:val="28"/>
          <w:szCs w:val="28"/>
          <w:highlight w:val="none"/>
          <w:u w:val="single"/>
        </w:rPr>
        <w:t>投标人成立不满一年无需提供）</w:t>
      </w:r>
    </w:p>
    <w:p w14:paraId="09AA683B">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三、具备履行合同所必需的设备和专业技术能力的书面声明</w:t>
      </w:r>
    </w:p>
    <w:p w14:paraId="248E1B32">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892FEDC">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五、参加政府采购活动前 3 年内在经营活动中没有重大违法记录的书面声明</w:t>
      </w:r>
    </w:p>
    <w:p w14:paraId="669B66F1">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六、投标人法定代表人身份证明和投标文件签署授权委托书（另附法定代表人和被授权人的身份证复印件）</w:t>
      </w:r>
    </w:p>
    <w:p w14:paraId="3B37A880">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七、投标人为被授权人缴纳的社会养老保险证明</w:t>
      </w:r>
    </w:p>
    <w:p w14:paraId="1246EF76">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、特定资格要求的证明文件（如果本项目设置特定资格要求，则需要提供）</w:t>
      </w:r>
    </w:p>
    <w:p w14:paraId="00C0804D">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九</w:t>
      </w:r>
      <w:r>
        <w:rPr>
          <w:rFonts w:hint="eastAsia" w:ascii="宋体" w:hAnsi="宋体" w:cs="宋体"/>
          <w:i/>
          <w:iCs w:val="0"/>
          <w:color w:val="auto"/>
          <w:sz w:val="28"/>
          <w:szCs w:val="28"/>
          <w:highlight w:val="none"/>
          <w:u w:val="single"/>
        </w:rPr>
        <w:t>、投标函</w:t>
      </w:r>
    </w:p>
    <w:p w14:paraId="0DFE68BF">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十</w:t>
      </w:r>
      <w:r>
        <w:rPr>
          <w:rFonts w:hint="eastAsia" w:ascii="宋体" w:hAnsi="宋体" w:cs="宋体"/>
          <w:i/>
          <w:iCs w:val="0"/>
          <w:color w:val="auto"/>
          <w:sz w:val="28"/>
          <w:szCs w:val="28"/>
          <w:highlight w:val="none"/>
          <w:u w:val="single"/>
        </w:rPr>
        <w:t>、</w:t>
      </w:r>
      <w:r>
        <w:rPr>
          <w:rFonts w:hint="eastAsia" w:ascii="宋体" w:hAnsi="宋体" w:cs="宋体"/>
          <w:i/>
          <w:iCs w:val="0"/>
          <w:color w:val="auto"/>
          <w:sz w:val="28"/>
          <w:szCs w:val="28"/>
          <w:highlight w:val="none"/>
          <w:u w:val="single"/>
          <w:lang w:val="en-US" w:eastAsia="zh-CN"/>
        </w:rPr>
        <w:t>中小</w:t>
      </w:r>
      <w:r>
        <w:rPr>
          <w:rFonts w:hint="eastAsia" w:ascii="宋体" w:hAnsi="宋体" w:cs="宋体"/>
          <w:i/>
          <w:iCs w:val="0"/>
          <w:color w:val="auto"/>
          <w:sz w:val="28"/>
          <w:szCs w:val="28"/>
          <w:highlight w:val="none"/>
          <w:u w:val="single"/>
        </w:rPr>
        <w:t>企业声明函</w:t>
      </w:r>
    </w:p>
    <w:p w14:paraId="6B7A47E3">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一</w:t>
      </w:r>
      <w:r>
        <w:rPr>
          <w:rFonts w:hint="eastAsia" w:ascii="宋体" w:hAnsi="宋体" w:cs="宋体"/>
          <w:i/>
          <w:iCs w:val="0"/>
          <w:color w:val="auto"/>
          <w:sz w:val="28"/>
          <w:szCs w:val="28"/>
          <w:highlight w:val="none"/>
          <w:u w:val="single"/>
        </w:rPr>
        <w:t>、残疾人福利性单位声明函</w:t>
      </w:r>
    </w:p>
    <w:p w14:paraId="08CD8029">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二</w:t>
      </w:r>
      <w:r>
        <w:rPr>
          <w:rFonts w:hint="eastAsia" w:ascii="宋体" w:hAnsi="宋体" w:cs="宋体"/>
          <w:i/>
          <w:iCs w:val="0"/>
          <w:color w:val="auto"/>
          <w:sz w:val="28"/>
          <w:szCs w:val="28"/>
          <w:highlight w:val="none"/>
          <w:u w:val="single"/>
        </w:rPr>
        <w:t>、联合体协议</w:t>
      </w:r>
    </w:p>
    <w:p w14:paraId="46C1E5E8">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三</w:t>
      </w:r>
      <w:r>
        <w:rPr>
          <w:rFonts w:hint="eastAsia" w:ascii="宋体" w:hAnsi="宋体" w:cs="宋体"/>
          <w:i/>
          <w:iCs w:val="0"/>
          <w:color w:val="auto"/>
          <w:sz w:val="28"/>
          <w:szCs w:val="28"/>
          <w:highlight w:val="none"/>
          <w:u w:val="single"/>
        </w:rPr>
        <w:t>、投标分项报价表</w:t>
      </w:r>
    </w:p>
    <w:p w14:paraId="15EF2977">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四</w:t>
      </w:r>
      <w:r>
        <w:rPr>
          <w:rFonts w:hint="eastAsia" w:ascii="宋体" w:hAnsi="宋体" w:cs="宋体"/>
          <w:i/>
          <w:iCs w:val="0"/>
          <w:color w:val="auto"/>
          <w:sz w:val="28"/>
          <w:szCs w:val="28"/>
          <w:highlight w:val="none"/>
          <w:u w:val="single"/>
        </w:rPr>
        <w:t>、技术要求响应及偏离表</w:t>
      </w:r>
    </w:p>
    <w:p w14:paraId="1107C79F">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五</w:t>
      </w:r>
      <w:r>
        <w:rPr>
          <w:rFonts w:hint="eastAsia" w:ascii="宋体" w:hAnsi="宋体" w:cs="宋体"/>
          <w:i/>
          <w:iCs w:val="0"/>
          <w:color w:val="auto"/>
          <w:sz w:val="28"/>
          <w:szCs w:val="28"/>
          <w:highlight w:val="none"/>
          <w:u w:val="single"/>
        </w:rPr>
        <w:t>、商务要求响应及偏离表</w:t>
      </w:r>
    </w:p>
    <w:p w14:paraId="58050237">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六</w:t>
      </w:r>
      <w:r>
        <w:rPr>
          <w:rFonts w:hint="eastAsia" w:ascii="宋体" w:hAnsi="宋体" w:cs="宋体"/>
          <w:i/>
          <w:iCs w:val="0"/>
          <w:color w:val="auto"/>
          <w:sz w:val="28"/>
          <w:szCs w:val="28"/>
          <w:highlight w:val="none"/>
          <w:u w:val="single"/>
        </w:rPr>
        <w:t>、开标一览表</w:t>
      </w:r>
    </w:p>
    <w:p w14:paraId="7635C02C">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七</w:t>
      </w:r>
      <w:r>
        <w:rPr>
          <w:rFonts w:hint="eastAsia" w:ascii="宋体" w:hAnsi="宋体" w:cs="宋体"/>
          <w:i/>
          <w:iCs w:val="0"/>
          <w:color w:val="auto"/>
          <w:sz w:val="28"/>
          <w:szCs w:val="28"/>
          <w:highlight w:val="none"/>
          <w:u w:val="single"/>
        </w:rPr>
        <w:t>、技术方案、服务承诺、培训承诺等</w:t>
      </w:r>
    </w:p>
    <w:p w14:paraId="0AC36B1E">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、盐城市政府采购事前信用承诺书</w:t>
      </w:r>
    </w:p>
    <w:p w14:paraId="37FE06B9">
      <w:pPr>
        <w:pStyle w:val="13"/>
        <w:spacing w:beforeAutospacing="0" w:afterAutospacing="0" w:line="0" w:lineRule="atLeast"/>
        <w:ind w:firstLine="480"/>
        <w:jc w:val="both"/>
        <w:rPr>
          <w:color w:val="auto"/>
          <w:highlight w:val="none"/>
        </w:rPr>
      </w:pPr>
      <w:r>
        <w:rPr>
          <w:color w:val="auto"/>
          <w:highlight w:val="none"/>
        </w:rPr>
        <w:t> </w:t>
      </w:r>
    </w:p>
    <w:p w14:paraId="6A0FD65E">
      <w:pPr>
        <w:pStyle w:val="13"/>
        <w:spacing w:beforeAutospacing="0" w:afterAutospacing="0" w:line="0" w:lineRule="atLeast"/>
        <w:ind w:firstLine="480"/>
        <w:jc w:val="both"/>
        <w:rPr>
          <w:color w:val="auto"/>
          <w:highlight w:val="none"/>
        </w:rPr>
      </w:pPr>
      <w:r>
        <w:rPr>
          <w:color w:val="auto"/>
          <w:highlight w:val="none"/>
        </w:rPr>
        <w:t> </w:t>
      </w:r>
    </w:p>
    <w:p w14:paraId="40C366DE">
      <w:pPr>
        <w:pStyle w:val="13"/>
        <w:spacing w:beforeAutospacing="0" w:afterAutospacing="0" w:line="0" w:lineRule="atLeast"/>
        <w:ind w:firstLine="480"/>
        <w:jc w:val="both"/>
        <w:rPr>
          <w:color w:val="auto"/>
          <w:highlight w:val="none"/>
        </w:rPr>
      </w:pPr>
      <w:r>
        <w:rPr>
          <w:color w:val="auto"/>
          <w:highlight w:val="none"/>
        </w:rPr>
        <w:t> </w:t>
      </w:r>
    </w:p>
    <w:p w14:paraId="27AAA8B4">
      <w:pPr>
        <w:pStyle w:val="13"/>
        <w:spacing w:beforeAutospacing="0" w:afterAutospacing="0" w:line="0" w:lineRule="atLeast"/>
        <w:ind w:firstLine="480"/>
        <w:jc w:val="both"/>
        <w:rPr>
          <w:color w:val="auto"/>
          <w:highlight w:val="none"/>
        </w:rPr>
      </w:pPr>
      <w:r>
        <w:rPr>
          <w:color w:val="auto"/>
          <w:highlight w:val="none"/>
        </w:rPr>
        <w:t> </w:t>
      </w:r>
    </w:p>
    <w:p w14:paraId="7812EC57">
      <w:pPr>
        <w:pStyle w:val="13"/>
        <w:spacing w:beforeAutospacing="0" w:afterAutospacing="0" w:line="0" w:lineRule="atLeast"/>
        <w:ind w:firstLine="480"/>
        <w:jc w:val="both"/>
        <w:rPr>
          <w:color w:val="auto"/>
          <w:highlight w:val="none"/>
        </w:rPr>
      </w:pPr>
      <w:r>
        <w:rPr>
          <w:color w:val="auto"/>
          <w:highlight w:val="none"/>
        </w:rPr>
        <w:t> </w:t>
      </w:r>
    </w:p>
    <w:p w14:paraId="791A6DC3">
      <w:pPr>
        <w:pStyle w:val="13"/>
        <w:spacing w:beforeAutospacing="0" w:afterAutospacing="0" w:line="0" w:lineRule="atLeast"/>
        <w:ind w:firstLine="480"/>
        <w:jc w:val="both"/>
        <w:rPr>
          <w:color w:val="auto"/>
          <w:highlight w:val="none"/>
        </w:rPr>
      </w:pPr>
      <w:r>
        <w:rPr>
          <w:color w:val="auto"/>
          <w:highlight w:val="none"/>
        </w:rPr>
        <w:t> </w:t>
      </w:r>
    </w:p>
    <w:p w14:paraId="0B4E924D">
      <w:pPr>
        <w:pStyle w:val="13"/>
        <w:spacing w:beforeAutospacing="0" w:afterAutospacing="0" w:line="0" w:lineRule="atLeast"/>
        <w:ind w:firstLine="480"/>
        <w:jc w:val="both"/>
        <w:rPr>
          <w:color w:val="auto"/>
          <w:highlight w:val="none"/>
        </w:rPr>
      </w:pPr>
      <w:r>
        <w:rPr>
          <w:color w:val="auto"/>
          <w:highlight w:val="none"/>
        </w:rPr>
        <w:t> </w:t>
      </w:r>
    </w:p>
    <w:p w14:paraId="75722470">
      <w:pPr>
        <w:pStyle w:val="13"/>
        <w:spacing w:beforeAutospacing="0" w:afterAutospacing="0" w:line="0" w:lineRule="atLeast"/>
        <w:ind w:firstLine="480"/>
        <w:jc w:val="both"/>
        <w:rPr>
          <w:color w:val="auto"/>
          <w:highlight w:val="none"/>
        </w:rPr>
      </w:pPr>
      <w:r>
        <w:rPr>
          <w:color w:val="auto"/>
          <w:highlight w:val="none"/>
        </w:rPr>
        <w:t> </w:t>
      </w:r>
    </w:p>
    <w:p w14:paraId="63FD7729">
      <w:pPr>
        <w:pStyle w:val="13"/>
        <w:spacing w:beforeAutospacing="0" w:afterAutospacing="0" w:line="0" w:lineRule="atLeast"/>
        <w:ind w:firstLine="480"/>
        <w:jc w:val="both"/>
        <w:rPr>
          <w:color w:val="auto"/>
          <w:highlight w:val="none"/>
        </w:rPr>
      </w:pPr>
    </w:p>
    <w:p w14:paraId="0CADFC6E">
      <w:pPr>
        <w:pStyle w:val="13"/>
        <w:spacing w:beforeAutospacing="0" w:afterAutospacing="0" w:line="0" w:lineRule="atLeast"/>
        <w:ind w:firstLine="480"/>
        <w:jc w:val="both"/>
        <w:rPr>
          <w:color w:val="auto"/>
          <w:highlight w:val="none"/>
        </w:rPr>
      </w:pPr>
    </w:p>
    <w:p w14:paraId="3791CA6B">
      <w:pPr>
        <w:pStyle w:val="13"/>
        <w:spacing w:beforeAutospacing="0" w:afterAutospacing="0" w:line="0" w:lineRule="atLeast"/>
        <w:ind w:firstLine="480"/>
        <w:jc w:val="both"/>
        <w:rPr>
          <w:color w:val="auto"/>
          <w:highlight w:val="none"/>
        </w:rPr>
      </w:pPr>
    </w:p>
    <w:p w14:paraId="38C0D44C">
      <w:pPr>
        <w:pStyle w:val="13"/>
        <w:spacing w:beforeAutospacing="0" w:afterAutospacing="0" w:line="0" w:lineRule="atLeast"/>
        <w:ind w:firstLine="480"/>
        <w:jc w:val="both"/>
        <w:rPr>
          <w:color w:val="auto"/>
          <w:highlight w:val="none"/>
        </w:rPr>
      </w:pPr>
    </w:p>
    <w:p w14:paraId="45F462FB">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29BCB51F">
      <w:pPr>
        <w:pStyle w:val="13"/>
        <w:spacing w:beforeAutospacing="0" w:afterAutospacing="0" w:line="0" w:lineRule="atLeast"/>
        <w:ind w:firstLine="480"/>
        <w:jc w:val="both"/>
        <w:rPr>
          <w:color w:val="auto"/>
          <w:highlight w:val="none"/>
        </w:rPr>
      </w:pPr>
      <w:r>
        <w:rPr>
          <w:color w:val="auto"/>
          <w:highlight w:val="none"/>
        </w:rPr>
        <w:t> </w:t>
      </w:r>
    </w:p>
    <w:p w14:paraId="0C9528B6">
      <w:pPr>
        <w:pStyle w:val="13"/>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8F2CC3D">
      <w:pPr>
        <w:tabs>
          <w:tab w:val="left" w:pos="1331"/>
        </w:tabs>
        <w:bidi w:val="0"/>
        <w:ind w:firstLine="480" w:firstLineChars="200"/>
        <w:jc w:val="left"/>
        <w:rPr>
          <w:i w:val="0"/>
          <w:iCs/>
          <w:color w:val="auto"/>
          <w:highlight w:val="none"/>
          <w:u w:val="none"/>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w:t>
      </w:r>
      <w:r>
        <w:rPr>
          <w:rFonts w:hint="eastAsia" w:ascii="宋体" w:hAnsi="宋体" w:eastAsia="宋体" w:cs="宋体"/>
          <w:i w:val="0"/>
          <w:iCs/>
          <w:color w:val="auto"/>
          <w:highlight w:val="none"/>
          <w:u w:val="none"/>
        </w:rPr>
        <w:t>投标人成立不满一年无需提供）</w:t>
      </w:r>
    </w:p>
    <w:p w14:paraId="63C973D1">
      <w:pPr>
        <w:pStyle w:val="13"/>
        <w:spacing w:beforeAutospacing="0" w:afterAutospacing="0"/>
        <w:jc w:val="both"/>
        <w:rPr>
          <w:color w:val="auto"/>
          <w:highlight w:val="none"/>
        </w:rPr>
      </w:pPr>
      <w:r>
        <w:rPr>
          <w:color w:val="auto"/>
          <w:highlight w:val="none"/>
        </w:rPr>
        <w:t> </w:t>
      </w:r>
    </w:p>
    <w:p w14:paraId="4D8A73FE">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211C2592">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具有履</w:t>
      </w:r>
      <w:r>
        <w:rPr>
          <w:rFonts w:hint="eastAsia" w:ascii="黑体" w:eastAsia="黑体"/>
          <w:b/>
          <w:bCs/>
          <w:color w:val="auto"/>
          <w:sz w:val="32"/>
          <w:szCs w:val="32"/>
          <w:highlight w:val="none"/>
        </w:rPr>
        <w:t>行合同所必需的设备和专业技术能力的书面声明</w:t>
      </w:r>
    </w:p>
    <w:p w14:paraId="65CA3F9C">
      <w:pPr>
        <w:rPr>
          <w:rFonts w:hint="eastAsia" w:ascii="仿宋_GB2312" w:eastAsia="仿宋_GB2312"/>
          <w:color w:val="auto"/>
          <w:sz w:val="24"/>
          <w:highlight w:val="none"/>
        </w:rPr>
      </w:pPr>
    </w:p>
    <w:p w14:paraId="2FE6872B">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我单位郑重声明：我单位具备履行本项采购合同所必需的设备和专业技术能力，为履行本项采购合同我公司具备如下主要设备和主要专业技术能力：</w:t>
      </w:r>
    </w:p>
    <w:p w14:paraId="5849B205">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2D231B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3879EBA">
      <w:pPr>
        <w:spacing w:line="600" w:lineRule="exact"/>
        <w:ind w:firstLine="460"/>
        <w:rPr>
          <w:rFonts w:hint="eastAsia" w:ascii="宋体" w:hAnsi="宋体" w:cs="宋体"/>
          <w:color w:val="auto"/>
          <w:sz w:val="24"/>
          <w:highlight w:val="none"/>
        </w:rPr>
      </w:pPr>
    </w:p>
    <w:p w14:paraId="1AE088AC">
      <w:pPr>
        <w:spacing w:line="600" w:lineRule="exact"/>
        <w:ind w:firstLine="460"/>
        <w:rPr>
          <w:rFonts w:hint="eastAsia" w:ascii="宋体" w:hAnsi="宋体" w:cs="宋体"/>
          <w:color w:val="auto"/>
          <w:sz w:val="24"/>
          <w:highlight w:val="none"/>
        </w:rPr>
      </w:pPr>
    </w:p>
    <w:p w14:paraId="4493534F">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A98C6F4">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708FBD65">
      <w:pPr>
        <w:spacing w:line="600" w:lineRule="exact"/>
        <w:ind w:firstLine="1680"/>
        <w:rPr>
          <w:rFonts w:hint="eastAsia" w:ascii="宋体" w:hAnsi="宋体" w:cs="宋体"/>
          <w:color w:val="auto"/>
          <w:sz w:val="24"/>
          <w:highlight w:val="none"/>
        </w:rPr>
      </w:pPr>
    </w:p>
    <w:p w14:paraId="09A93654">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0ACCEE5E">
      <w:pPr>
        <w:spacing w:line="600" w:lineRule="exact"/>
        <w:ind w:firstLine="16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47BD23F">
      <w:pPr>
        <w:spacing w:line="600" w:lineRule="exact"/>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62FE45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br w:type="page"/>
      </w: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48E5EB45">
      <w:pPr>
        <w:pStyle w:val="13"/>
        <w:spacing w:beforeAutospacing="0" w:afterAutospacing="0"/>
        <w:ind w:firstLine="480"/>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9FC6C13">
      <w:pPr>
        <w:pStyle w:val="13"/>
        <w:spacing w:beforeAutospacing="0" w:afterAutospacing="0"/>
        <w:jc w:val="both"/>
        <w:rPr>
          <w:color w:val="auto"/>
          <w:highlight w:val="none"/>
        </w:rPr>
      </w:pPr>
      <w:r>
        <w:rPr>
          <w:color w:val="auto"/>
          <w:highlight w:val="none"/>
        </w:rPr>
        <w:t> </w:t>
      </w:r>
    </w:p>
    <w:p w14:paraId="03C83B25">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235A8DB7">
      <w:pPr>
        <w:spacing w:line="600" w:lineRule="exact"/>
        <w:jc w:val="center"/>
        <w:rPr>
          <w:rFonts w:hint="eastAsia" w:ascii="黑体" w:eastAsia="黑体"/>
          <w:b/>
          <w:bCs/>
          <w:color w:val="auto"/>
          <w:sz w:val="32"/>
          <w:szCs w:val="32"/>
          <w:highlight w:val="none"/>
        </w:rPr>
      </w:pPr>
      <w:bookmarkStart w:id="189" w:name="_Toc120614284"/>
      <w:r>
        <w:rPr>
          <w:rFonts w:hint="eastAsia" w:ascii="黑体" w:eastAsia="黑体"/>
          <w:b/>
          <w:bCs/>
          <w:color w:val="auto"/>
          <w:sz w:val="32"/>
          <w:szCs w:val="32"/>
          <w:highlight w:val="none"/>
        </w:rPr>
        <w:t>参加政府采购活动前3年内在经营活动中</w:t>
      </w:r>
    </w:p>
    <w:p w14:paraId="4D189DDF">
      <w:pPr>
        <w:spacing w:line="600" w:lineRule="exact"/>
        <w:jc w:val="center"/>
        <w:rPr>
          <w:rFonts w:hint="eastAsia" w:ascii="黑体" w:eastAsia="黑体"/>
          <w:b/>
          <w:bCs/>
          <w:color w:val="auto"/>
          <w:sz w:val="32"/>
          <w:szCs w:val="32"/>
          <w:highlight w:val="none"/>
        </w:rPr>
      </w:pPr>
      <w:r>
        <w:rPr>
          <w:rFonts w:hint="eastAsia" w:ascii="黑体" w:eastAsia="黑体"/>
          <w:b/>
          <w:bCs/>
          <w:color w:val="auto"/>
          <w:sz w:val="32"/>
          <w:szCs w:val="32"/>
          <w:highlight w:val="none"/>
        </w:rPr>
        <w:t>没有重大违法记录的书面声明</w:t>
      </w:r>
    </w:p>
    <w:p w14:paraId="0CCFE0A4">
      <w:pPr>
        <w:spacing w:line="600" w:lineRule="exact"/>
        <w:rPr>
          <w:rFonts w:hint="eastAsia" w:ascii="仿宋_GB2312" w:eastAsia="仿宋_GB2312"/>
          <w:color w:val="auto"/>
          <w:sz w:val="24"/>
          <w:highlight w:val="none"/>
        </w:rPr>
      </w:pPr>
    </w:p>
    <w:p w14:paraId="68B1832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447AB1EC">
      <w:pPr>
        <w:spacing w:line="600" w:lineRule="exact"/>
        <w:ind w:firstLine="460"/>
        <w:rPr>
          <w:rFonts w:hint="eastAsia" w:ascii="宋体" w:hAnsi="宋体" w:cs="宋体"/>
          <w:color w:val="auto"/>
          <w:sz w:val="24"/>
          <w:highlight w:val="none"/>
        </w:rPr>
      </w:pPr>
    </w:p>
    <w:p w14:paraId="2002B13B">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1836EBF">
      <w:pPr>
        <w:spacing w:line="600" w:lineRule="exact"/>
        <w:ind w:firstLine="460"/>
        <w:rPr>
          <w:rFonts w:hint="eastAsia" w:ascii="宋体" w:hAnsi="宋体" w:cs="宋体"/>
          <w:color w:val="auto"/>
          <w:sz w:val="24"/>
          <w:highlight w:val="none"/>
        </w:rPr>
      </w:pPr>
    </w:p>
    <w:p w14:paraId="736A5527">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5BB8D57F">
      <w:pPr>
        <w:spacing w:line="600" w:lineRule="exact"/>
        <w:ind w:firstLine="1680"/>
        <w:rPr>
          <w:rFonts w:hint="eastAsia" w:ascii="宋体" w:hAnsi="宋体" w:cs="宋体"/>
          <w:color w:val="auto"/>
          <w:sz w:val="24"/>
          <w:highlight w:val="none"/>
        </w:rPr>
      </w:pPr>
    </w:p>
    <w:p w14:paraId="6E6D609D">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6BEF5117">
      <w:pPr>
        <w:spacing w:line="600" w:lineRule="exact"/>
        <w:ind w:firstLine="1680"/>
        <w:rPr>
          <w:rFonts w:hint="eastAsia" w:ascii="宋体" w:hAnsi="宋体" w:cs="宋体"/>
          <w:color w:val="auto"/>
          <w:sz w:val="24"/>
          <w:highlight w:val="none"/>
        </w:rPr>
      </w:pPr>
    </w:p>
    <w:p w14:paraId="1ED0DFE9">
      <w:pPr>
        <w:spacing w:line="600" w:lineRule="exact"/>
        <w:ind w:firstLine="1680"/>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E8CF510">
      <w:pPr>
        <w:pStyle w:val="13"/>
        <w:spacing w:beforeAutospacing="0" w:afterAutospacing="0"/>
        <w:jc w:val="both"/>
        <w:rPr>
          <w:color w:val="auto"/>
          <w:highlight w:val="none"/>
        </w:rPr>
      </w:pPr>
    </w:p>
    <w:p w14:paraId="3999D316">
      <w:pPr>
        <w:pStyle w:val="13"/>
        <w:spacing w:beforeAutospacing="0" w:afterAutospacing="0"/>
        <w:jc w:val="both"/>
        <w:rPr>
          <w:rFonts w:hint="eastAsia" w:ascii="黑体" w:hAnsi="宋体" w:eastAsia="黑体" w:cs="黑体"/>
          <w:i/>
          <w:color w:val="auto"/>
          <w:sz w:val="32"/>
          <w:szCs w:val="32"/>
          <w:highlight w:val="none"/>
          <w:u w:val="single"/>
        </w:rPr>
      </w:pPr>
    </w:p>
    <w:p w14:paraId="0CE07E6A">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03D6822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六、投标人法定代表人身份证明和投标文件签署授权委托书（另附法定代表人和被授权人的身份证复印件）</w:t>
      </w:r>
    </w:p>
    <w:p w14:paraId="7024C1D9">
      <w:pPr>
        <w:spacing w:line="600" w:lineRule="exact"/>
        <w:jc w:val="center"/>
        <w:outlineLvl w:val="1"/>
        <w:rPr>
          <w:rFonts w:hint="eastAsia" w:ascii="黑体" w:eastAsia="黑体"/>
          <w:b/>
          <w:bCs/>
          <w:i/>
          <w:iCs/>
          <w:color w:val="auto"/>
          <w:sz w:val="32"/>
          <w:szCs w:val="32"/>
          <w:highlight w:val="none"/>
          <w:u w:val="single"/>
        </w:rPr>
      </w:pPr>
      <w:r>
        <w:rPr>
          <w:rFonts w:hint="eastAsia" w:ascii="黑体" w:eastAsia="黑体"/>
          <w:b/>
          <w:bCs/>
          <w:i/>
          <w:iCs/>
          <w:color w:val="auto"/>
          <w:sz w:val="32"/>
          <w:szCs w:val="32"/>
          <w:highlight w:val="none"/>
          <w:u w:val="single"/>
        </w:rPr>
        <w:t>法定代表人身份证明书</w:t>
      </w:r>
    </w:p>
    <w:p w14:paraId="24F52FC5">
      <w:pPr>
        <w:spacing w:line="600" w:lineRule="exact"/>
        <w:jc w:val="center"/>
        <w:rPr>
          <w:rFonts w:hint="eastAsia" w:ascii="黑体" w:eastAsia="黑体"/>
          <w:b/>
          <w:color w:val="auto"/>
          <w:sz w:val="28"/>
          <w:highlight w:val="none"/>
        </w:rPr>
      </w:pPr>
    </w:p>
    <w:p w14:paraId="7730ED2F">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p>
    <w:p w14:paraId="5B94F3B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（职务名称）</w:t>
      </w:r>
      <w:r>
        <w:rPr>
          <w:rFonts w:hint="eastAsia" w:ascii="宋体" w:hAnsi="宋体" w:cs="宋体"/>
          <w:color w:val="auto"/>
          <w:sz w:val="24"/>
          <w:highlight w:val="none"/>
        </w:rPr>
        <w:t>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00CF4EC">
      <w:pPr>
        <w:spacing w:line="600" w:lineRule="exact"/>
        <w:rPr>
          <w:rFonts w:hint="eastAsia" w:ascii="宋体" w:hAnsi="宋体" w:cs="宋体"/>
          <w:color w:val="auto"/>
          <w:sz w:val="24"/>
          <w:highlight w:val="none"/>
        </w:rPr>
      </w:pPr>
    </w:p>
    <w:p w14:paraId="7B9A1C51">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14:paraId="2426A42E">
      <w:pPr>
        <w:spacing w:line="600" w:lineRule="exact"/>
        <w:ind w:firstLine="4560"/>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p>
    <w:p w14:paraId="2FC16FBC">
      <w:pPr>
        <w:spacing w:line="600" w:lineRule="exact"/>
        <w:ind w:firstLine="1200"/>
        <w:rPr>
          <w:rFonts w:hint="eastAsia" w:ascii="宋体" w:hAnsi="宋体" w:cs="宋体"/>
          <w:color w:val="auto"/>
          <w:sz w:val="24"/>
          <w:highlight w:val="none"/>
        </w:rPr>
      </w:pPr>
    </w:p>
    <w:p w14:paraId="2930447F">
      <w:pPr>
        <w:spacing w:line="600" w:lineRule="exact"/>
        <w:ind w:firstLine="2126"/>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p>
    <w:p w14:paraId="4A55FD29">
      <w:pPr>
        <w:spacing w:line="600" w:lineRule="exact"/>
        <w:jc w:val="left"/>
        <w:rPr>
          <w:rFonts w:hint="eastAsia" w:ascii="宋体" w:hAnsi="宋体" w:cs="宋体"/>
          <w:b/>
          <w:bCs/>
          <w:color w:val="auto"/>
          <w:sz w:val="24"/>
          <w:highlight w:val="none"/>
        </w:rPr>
      </w:pPr>
    </w:p>
    <w:p w14:paraId="14F182C7">
      <w:pPr>
        <w:spacing w:line="6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（附：法定代表人身份证正反面复印件或扫描件）</w:t>
      </w:r>
    </w:p>
    <w:p w14:paraId="434C03F8">
      <w:pPr>
        <w:jc w:val="left"/>
        <w:rPr>
          <w:rFonts w:ascii="仿宋_GB2312" w:eastAsia="仿宋_GB2312"/>
          <w:color w:val="auto"/>
          <w:sz w:val="24"/>
          <w:highlight w:val="none"/>
        </w:rPr>
      </w:pPr>
    </w:p>
    <w:p w14:paraId="1E675CEF">
      <w:pPr>
        <w:spacing w:line="400" w:lineRule="exact"/>
        <w:jc w:val="center"/>
        <w:rPr>
          <w:rFonts w:hint="eastAsia" w:ascii="黑体" w:eastAsia="黑体"/>
          <w:i/>
          <w:iCs/>
          <w:color w:val="auto"/>
          <w:sz w:val="28"/>
          <w:highlight w:val="none"/>
          <w:u w:val="single"/>
        </w:rPr>
      </w:pPr>
      <w:r>
        <w:rPr>
          <w:rFonts w:ascii="仿宋_GB2312" w:eastAsia="仿宋_GB2312"/>
          <w:color w:val="auto"/>
          <w:sz w:val="24"/>
          <w:highlight w:val="none"/>
        </w:rPr>
        <w:br w:type="page"/>
      </w:r>
      <w:r>
        <w:rPr>
          <w:rFonts w:hint="eastAsia" w:ascii="黑体" w:hAnsi="Times New Roman" w:eastAsia="黑体"/>
          <w:b/>
          <w:bCs/>
          <w:i/>
          <w:iCs/>
          <w:color w:val="auto"/>
          <w:sz w:val="32"/>
          <w:szCs w:val="32"/>
          <w:highlight w:val="none"/>
          <w:u w:val="single"/>
        </w:rPr>
        <w:t>授权委托</w:t>
      </w:r>
      <w:r>
        <w:rPr>
          <w:rFonts w:hint="eastAsia" w:ascii="黑体" w:eastAsia="黑体"/>
          <w:b/>
          <w:bCs/>
          <w:i/>
          <w:iCs/>
          <w:color w:val="auto"/>
          <w:sz w:val="32"/>
          <w:szCs w:val="32"/>
          <w:highlight w:val="none"/>
          <w:u w:val="single"/>
        </w:rPr>
        <w:t>书</w:t>
      </w:r>
    </w:p>
    <w:p w14:paraId="50334848">
      <w:pPr>
        <w:ind w:firstLine="480"/>
        <w:rPr>
          <w:rFonts w:hint="eastAsia" w:ascii="宋体" w:hAnsi="宋体" w:cs="宋体"/>
          <w:color w:val="auto"/>
          <w:sz w:val="24"/>
          <w:highlight w:val="none"/>
        </w:rPr>
      </w:pPr>
    </w:p>
    <w:p w14:paraId="42FB3480">
      <w:pPr>
        <w:spacing w:line="480" w:lineRule="auto"/>
        <w:ind w:firstLine="480"/>
        <w:rPr>
          <w:rFonts w:hint="eastAsia" w:ascii="宋体" w:hAnsi="宋体" w:cs="宋体"/>
          <w:color w:val="auto"/>
          <w:sz w:val="24"/>
          <w:highlight w:val="none"/>
        </w:rPr>
      </w:pPr>
      <w:r>
        <w:rPr>
          <w:rFonts w:hint="eastAsia" w:ascii="宋体" w:hAnsi="宋体" w:cs="宋体"/>
          <w:color w:val="auto"/>
          <w:sz w:val="24"/>
          <w:highlight w:val="none"/>
        </w:rPr>
        <w:t>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号项目的投标文件的法定代表人授权委托代理，，我承认被授权人全权代表我所签署的本项目的投标文件的内容。以本单位名义全权处理一切与该项目采购有关的事务。</w:t>
      </w:r>
    </w:p>
    <w:p w14:paraId="2A670564">
      <w:pPr>
        <w:pStyle w:val="27"/>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5C897EB8">
      <w:pPr>
        <w:pStyle w:val="27"/>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代理人</w:t>
      </w:r>
      <w:r>
        <w:rPr>
          <w:rFonts w:hint="eastAsia" w:ascii="宋体" w:hAnsi="宋体" w:cs="宋体"/>
          <w:color w:val="auto"/>
          <w:sz w:val="24"/>
          <w:szCs w:val="24"/>
          <w:highlight w:val="none"/>
        </w:rPr>
        <w:t>被授权人身份证号码：</w:t>
      </w:r>
      <w:r>
        <w:rPr>
          <w:rFonts w:hint="eastAsia" w:ascii="宋体" w:hAnsi="宋体" w:cs="宋体"/>
          <w:color w:val="auto"/>
          <w:sz w:val="24"/>
          <w:szCs w:val="24"/>
          <w:highlight w:val="none"/>
          <w:u w:val="single"/>
        </w:rPr>
        <w:t xml:space="preserve">                              </w:t>
      </w:r>
    </w:p>
    <w:p w14:paraId="1547DC00">
      <w:pPr>
        <w:pStyle w:val="27"/>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p>
    <w:p w14:paraId="35C1D6D8">
      <w:pPr>
        <w:pStyle w:val="27"/>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授权单位名称：</w:t>
      </w:r>
      <w:r>
        <w:rPr>
          <w:rFonts w:hint="eastAsia" w:ascii="宋体" w:hAnsi="宋体" w:cs="宋体"/>
          <w:color w:val="auto"/>
          <w:sz w:val="24"/>
          <w:szCs w:val="24"/>
          <w:highlight w:val="none"/>
          <w:u w:val="single"/>
        </w:rPr>
        <w:t>（加盖CA电子公章）</w:t>
      </w:r>
    </w:p>
    <w:p w14:paraId="6123BFA3">
      <w:pPr>
        <w:pStyle w:val="27"/>
        <w:spacing w:line="480" w:lineRule="auto"/>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p>
    <w:p w14:paraId="041A55AE">
      <w:pPr>
        <w:pStyle w:val="27"/>
        <w:spacing w:line="480" w:lineRule="auto"/>
        <w:ind w:firstLine="480"/>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（加盖CA电子公章）</w:t>
      </w:r>
    </w:p>
    <w:p w14:paraId="2683ED49">
      <w:pPr>
        <w:pStyle w:val="27"/>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p>
    <w:p w14:paraId="4BB4BDD7">
      <w:pPr>
        <w:spacing w:line="48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（附：被授权人身份证正反面复印件或扫描件）</w:t>
      </w:r>
    </w:p>
    <w:p w14:paraId="6A7FAC3F">
      <w:pPr>
        <w:pStyle w:val="5"/>
        <w:spacing w:line="480" w:lineRule="auto"/>
        <w:rPr>
          <w:rFonts w:hint="eastAsia" w:ascii="宋体" w:hAnsi="宋体" w:cs="宋体"/>
          <w:i/>
          <w:color w:val="auto"/>
          <w:sz w:val="24"/>
          <w:highlight w:val="none"/>
          <w:u w:val="single"/>
        </w:rPr>
      </w:pPr>
    </w:p>
    <w:p w14:paraId="697E680D">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注：</w:t>
      </w:r>
      <w:r>
        <w:rPr>
          <w:rFonts w:hint="eastAsia" w:ascii="宋体" w:hAnsi="宋体" w:cs="宋体"/>
          <w:color w:val="auto"/>
          <w:sz w:val="24"/>
          <w:highlight w:val="none"/>
        </w:rPr>
        <w:t>被授权人须为本单位正式职工并提供投标人为被授权人缴纳的社会养老保险证明。</w:t>
      </w:r>
    </w:p>
    <w:p w14:paraId="3A495942">
      <w:pPr>
        <w:rPr>
          <w:rFonts w:hint="eastAsia" w:ascii="黑体" w:hAnsi="宋体" w:eastAsia="黑体" w:cs="黑体"/>
          <w:i/>
          <w:color w:val="auto"/>
          <w:sz w:val="32"/>
          <w:szCs w:val="32"/>
          <w:highlight w:val="none"/>
          <w:u w:val="single"/>
        </w:rPr>
      </w:pPr>
      <w:r>
        <w:rPr>
          <w:rFonts w:hint="eastAsia" w:ascii="黑体" w:hAnsi="宋体" w:eastAsia="黑体" w:cs="黑体"/>
          <w:i/>
          <w:color w:val="auto"/>
          <w:kern w:val="0"/>
          <w:sz w:val="32"/>
          <w:szCs w:val="32"/>
          <w:highlight w:val="none"/>
        </w:rPr>
        <w:br w:type="page"/>
      </w:r>
      <w:r>
        <w:rPr>
          <w:rFonts w:hint="eastAsia" w:ascii="黑体" w:hAnsi="宋体" w:eastAsia="黑体" w:cs="黑体"/>
          <w:i/>
          <w:color w:val="auto"/>
          <w:kern w:val="0"/>
          <w:sz w:val="32"/>
          <w:szCs w:val="32"/>
          <w:highlight w:val="none"/>
        </w:rPr>
        <w:t>七、</w:t>
      </w:r>
      <w:r>
        <w:rPr>
          <w:rFonts w:hint="eastAsia" w:ascii="黑体" w:hAnsi="宋体" w:eastAsia="黑体" w:cs="黑体"/>
          <w:i/>
          <w:color w:val="auto"/>
          <w:sz w:val="32"/>
          <w:szCs w:val="32"/>
          <w:highlight w:val="none"/>
          <w:u w:val="single"/>
        </w:rPr>
        <w:t>投标人为被授权人缴纳的社会养老保险证明</w:t>
      </w:r>
    </w:p>
    <w:p w14:paraId="2866A242">
      <w:pPr>
        <w:pStyle w:val="13"/>
        <w:spacing w:beforeAutospacing="0" w:afterAutospacing="0"/>
        <w:jc w:val="both"/>
        <w:rPr>
          <w:color w:val="auto"/>
          <w:highlight w:val="none"/>
        </w:rPr>
      </w:pPr>
      <w:bookmarkStart w:id="190" w:name="_Hlt26955070"/>
      <w:bookmarkStart w:id="191" w:name="_格式3__银行出具的资信证明"/>
      <w:bookmarkStart w:id="192" w:name="_Hlt26671380"/>
      <w:r>
        <w:rPr>
          <w:rFonts w:hint="eastAsia" w:ascii="黑体" w:hAnsi="宋体" w:eastAsia="黑体" w:cs="黑体"/>
          <w:i/>
          <w:color w:val="auto"/>
          <w:sz w:val="32"/>
          <w:szCs w:val="32"/>
          <w:highlight w:val="none"/>
          <w:u w:val="single"/>
          <w:lang w:val="en-US" w:eastAsia="zh-CN"/>
        </w:rPr>
        <w:t>八</w:t>
      </w:r>
      <w:r>
        <w:rPr>
          <w:rFonts w:hint="eastAsia" w:ascii="黑体" w:hAnsi="宋体" w:eastAsia="黑体" w:cs="黑体"/>
          <w:i/>
          <w:color w:val="auto"/>
          <w:sz w:val="32"/>
          <w:szCs w:val="32"/>
          <w:highlight w:val="none"/>
          <w:u w:val="single"/>
        </w:rPr>
        <w:t>、特定资格要求的证明文件</w:t>
      </w:r>
    </w:p>
    <w:p w14:paraId="3F94C566">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4F52C3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firstLine="3390"/>
        <w:jc w:val="both"/>
        <w:textAlignment w:val="auto"/>
        <w:rPr>
          <w:color w:val="auto"/>
          <w:highlight w:val="none"/>
        </w:rPr>
      </w:pP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lang w:val="en-US" w:eastAsia="zh-CN"/>
        </w:rPr>
        <w:t>九</w:t>
      </w:r>
      <w:r>
        <w:rPr>
          <w:rFonts w:hint="eastAsia" w:ascii="黑体" w:hAnsi="宋体" w:eastAsia="黑体" w:cs="黑体"/>
          <w:b/>
          <w:i/>
          <w:color w:val="auto"/>
          <w:sz w:val="32"/>
          <w:szCs w:val="32"/>
          <w:highlight w:val="none"/>
          <w:u w:val="single"/>
        </w:rPr>
        <w:t>、投标函</w:t>
      </w:r>
    </w:p>
    <w:p w14:paraId="1A028A40">
      <w:pPr>
        <w:pStyle w:val="24"/>
        <w:spacing w:before="0" w:after="0" w:line="420" w:lineRule="exact"/>
        <w:ind w:firstLine="0"/>
        <w:rPr>
          <w:rFonts w:ascii="宋体" w:hAnsi="宋体"/>
          <w:color w:val="auto"/>
          <w:szCs w:val="21"/>
          <w:highlight w:val="none"/>
          <w:u w:val="singl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p>
    <w:p w14:paraId="433A1636">
      <w:pPr>
        <w:pStyle w:val="24"/>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lang w:eastAsia="zh-CN"/>
        </w:rPr>
        <w:t>JSZC-320981-CCGC-G2025-0054</w:t>
      </w:r>
      <w:r>
        <w:rPr>
          <w:rFonts w:hint="eastAsia" w:ascii="宋体" w:hAnsi="宋体"/>
          <w:color w:val="auto"/>
          <w:szCs w:val="21"/>
          <w:highlight w:val="none"/>
        </w:rPr>
        <w:t>号招标文件，正式授权下述签字人______(姓名)代表我方______________（投标人的名称），全权处理本次项目投标的有关事宜。</w:t>
      </w:r>
    </w:p>
    <w:p w14:paraId="4A2322E1">
      <w:pPr>
        <w:pStyle w:val="24"/>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0FD202B1">
      <w:pPr>
        <w:pStyle w:val="24"/>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3F8D4CEE">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2.我们完全理解贵方不一定将合同授予最低报价的投标人。</w:t>
      </w:r>
    </w:p>
    <w:p w14:paraId="31E240B6">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3.我们已详细审核全部招标文件及其有效补充文件，我们知道必须放弃提出含糊不清或误解问题的权利。</w:t>
      </w:r>
    </w:p>
    <w:p w14:paraId="1C86E355">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4.我们同意从规定的开标日期起遵循本投标文件，并在规定的投标有效期期满之前均具有约束力。</w:t>
      </w:r>
    </w:p>
    <w:p w14:paraId="3551C522">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5.同意向贵方提供贵方可能另外要求的与投标有关的任何证据或资料，并保证我方已提供和将要提供的文件是真实的、准确的。</w:t>
      </w:r>
    </w:p>
    <w:p w14:paraId="318BA603">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6.一旦我方中标,我方将根据招标文件的规定，严格履行合同的责任和义务,并保证在招标文件规定的时间完成项目，交付买方验收、使用。</w:t>
      </w:r>
    </w:p>
    <w:p w14:paraId="53086D9C">
      <w:pPr>
        <w:pStyle w:val="24"/>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7.与本投标有关的正式通讯地址为：</w:t>
      </w:r>
    </w:p>
    <w:p w14:paraId="3542F2D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地址：</w:t>
      </w:r>
    </w:p>
    <w:p w14:paraId="7513152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邮编：</w:t>
      </w:r>
    </w:p>
    <w:p w14:paraId="2DD765A7">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电话：</w:t>
      </w:r>
    </w:p>
    <w:p w14:paraId="5C89151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传真：</w:t>
      </w:r>
    </w:p>
    <w:p w14:paraId="5AD56B5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投标人开户行：</w:t>
      </w:r>
    </w:p>
    <w:p w14:paraId="2A7A107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账户：                                      </w:t>
      </w:r>
    </w:p>
    <w:p w14:paraId="717DCA3F">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r>
        <w:rPr>
          <w:rFonts w:hint="eastAsia" w:ascii="宋体" w:hAnsi="宋体" w:cs="宋体"/>
          <w:color w:val="auto"/>
          <w:sz w:val="24"/>
          <w:highlight w:val="none"/>
          <w:u w:val="single"/>
        </w:rPr>
        <w:t xml:space="preserve">              </w:t>
      </w:r>
    </w:p>
    <w:p w14:paraId="02F71D44">
      <w:pPr>
        <w:spacing w:line="480" w:lineRule="exact"/>
        <w:rPr>
          <w:rFonts w:hint="eastAsia" w:ascii="宋体" w:hAnsi="宋体" w:cs="宋体"/>
          <w:color w:val="auto"/>
          <w:sz w:val="24"/>
          <w:highlight w:val="none"/>
        </w:rPr>
      </w:pPr>
    </w:p>
    <w:p w14:paraId="63F05271">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42AAB70">
      <w:pPr>
        <w:spacing w:line="480" w:lineRule="exact"/>
        <w:rPr>
          <w:rFonts w:hint="eastAsia" w:ascii="宋体" w:hAnsi="宋体" w:cs="宋体"/>
          <w:color w:val="auto"/>
          <w:sz w:val="24"/>
          <w:highlight w:val="none"/>
        </w:rPr>
      </w:pPr>
    </w:p>
    <w:p w14:paraId="390F3DE1">
      <w:pPr>
        <w:spacing w:line="480" w:lineRule="exact"/>
        <w:jc w:val="right"/>
        <w:outlineLvl w:val="1"/>
        <w:rPr>
          <w:rFonts w:hint="eastAsia" w:ascii="仿宋_GB2312" w:eastAsia="仿宋_GB2312"/>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仿宋_GB2312" w:eastAsia="仿宋_GB2312"/>
          <w:color w:val="auto"/>
          <w:sz w:val="24"/>
          <w:highlight w:val="none"/>
        </w:rPr>
        <w:t xml:space="preserve"> </w:t>
      </w:r>
    </w:p>
    <w:p w14:paraId="16F5EEEA">
      <w:pPr>
        <w:pStyle w:val="13"/>
        <w:spacing w:beforeAutospacing="0" w:afterAutospacing="0" w:line="0" w:lineRule="atLeast"/>
        <w:ind w:firstLine="240"/>
        <w:jc w:val="center"/>
        <w:rPr>
          <w:color w:val="auto"/>
          <w:highlight w:val="none"/>
        </w:rPr>
      </w:pPr>
      <w:r>
        <w:rPr>
          <w:rFonts w:hint="eastAsia" w:ascii="黑体" w:hAnsi="宋体" w:eastAsia="黑体" w:cs="黑体"/>
          <w:b/>
          <w:color w:val="auto"/>
          <w:sz w:val="32"/>
          <w:szCs w:val="32"/>
          <w:highlight w:val="none"/>
        </w:rPr>
        <w:br w:type="page"/>
      </w:r>
    </w:p>
    <w:p w14:paraId="4D95E4F8">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）（分包号：**）</w:t>
      </w:r>
    </w:p>
    <w:p w14:paraId="46EB4017">
      <w:pPr>
        <w:spacing w:line="500" w:lineRule="exact"/>
        <w:ind w:firstLine="480"/>
        <w:jc w:val="both"/>
        <w:rPr>
          <w:rFonts w:hint="eastAsia"/>
          <w:color w:val="auto"/>
          <w:sz w:val="24"/>
          <w:highlight w:val="none"/>
        </w:rPr>
      </w:pPr>
    </w:p>
    <w:p w14:paraId="5754E09C">
      <w:pPr>
        <w:spacing w:line="360" w:lineRule="auto"/>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087D8386">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6645246E">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57D30EB1">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0F8A60F9">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549D942B">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A94807B">
      <w:pPr>
        <w:pStyle w:val="13"/>
        <w:widowControl w:val="0"/>
        <w:spacing w:before="0" w:beforeAutospacing="0" w:after="0" w:afterAutospacing="0" w:line="360" w:lineRule="auto"/>
        <w:ind w:right="720"/>
        <w:jc w:val="both"/>
        <w:rPr>
          <w:color w:val="auto"/>
          <w:highlight w:val="none"/>
        </w:rPr>
      </w:pPr>
      <w:r>
        <w:rPr>
          <w:color w:val="auto"/>
          <w:highlight w:val="none"/>
        </w:rPr>
        <w:t> </w:t>
      </w:r>
    </w:p>
    <w:p w14:paraId="27A412C4">
      <w:pPr>
        <w:pStyle w:val="13"/>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79755124">
      <w:pPr>
        <w:pStyle w:val="13"/>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15A70B62">
      <w:pPr>
        <w:pStyle w:val="13"/>
        <w:widowControl w:val="0"/>
        <w:spacing w:before="0" w:beforeAutospacing="0" w:after="0" w:afterAutospacing="0" w:line="360" w:lineRule="auto"/>
        <w:ind w:firstLine="360"/>
        <w:jc w:val="both"/>
        <w:rPr>
          <w:color w:val="auto"/>
          <w:highlight w:val="none"/>
        </w:rPr>
      </w:pPr>
      <w:r>
        <w:rPr>
          <w:color w:val="auto"/>
          <w:highlight w:val="none"/>
        </w:rPr>
        <w:t> </w:t>
      </w:r>
    </w:p>
    <w:p w14:paraId="059F02B1">
      <w:pPr>
        <w:pStyle w:val="13"/>
        <w:widowControl w:val="0"/>
        <w:spacing w:before="0" w:beforeAutospacing="0" w:after="0" w:afterAutospacing="0" w:line="360" w:lineRule="auto"/>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1A072D31">
      <w:pPr>
        <w:pStyle w:val="13"/>
        <w:widowControl w:val="0"/>
        <w:spacing w:before="0" w:beforeAutospacing="0" w:after="0" w:afterAutospacing="0" w:line="360" w:lineRule="auto"/>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7919EB57">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2B33F68B">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一</w:t>
      </w:r>
      <w:r>
        <w:rPr>
          <w:rFonts w:hint="eastAsia" w:ascii="黑体" w:hAnsi="宋体" w:eastAsia="黑体" w:cs="黑体"/>
          <w:b/>
          <w:color w:val="auto"/>
          <w:sz w:val="32"/>
          <w:szCs w:val="32"/>
          <w:highlight w:val="none"/>
        </w:rPr>
        <w:t>、残疾人福利性单位声明函（分包号：**）</w:t>
      </w:r>
    </w:p>
    <w:p w14:paraId="11551558">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项目（分包号：**）采购活动提供本单位制造的货物，或者提供其他残疾人福利性单位制造的货物（不包括使用非残疾人福利性单位注册商标的货物）。</w:t>
      </w:r>
    </w:p>
    <w:p w14:paraId="5A232D3E">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本单位对上述声明的真实性负责。如有虚假，将依法承担相应责任。</w:t>
      </w:r>
    </w:p>
    <w:p w14:paraId="770816E6">
      <w:pPr>
        <w:pStyle w:val="13"/>
        <w:spacing w:beforeAutospacing="0" w:afterAutospacing="0" w:line="360" w:lineRule="auto"/>
        <w:ind w:firstLine="480"/>
        <w:jc w:val="both"/>
        <w:rPr>
          <w:color w:val="auto"/>
          <w:highlight w:val="none"/>
        </w:rPr>
      </w:pPr>
      <w:r>
        <w:rPr>
          <w:color w:val="auto"/>
          <w:highlight w:val="none"/>
        </w:rPr>
        <w:t> </w:t>
      </w:r>
    </w:p>
    <w:p w14:paraId="1398E544">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（备注：1、供应商如不提供此声明函，价格将不做相应扣除。2、中标供应商为残疾人福利单位的，此声明函将随中标结果同时公告，接受社会监督）</w:t>
      </w:r>
    </w:p>
    <w:p w14:paraId="3A7FBF9F">
      <w:pPr>
        <w:pStyle w:val="13"/>
        <w:spacing w:beforeAutospacing="0" w:afterAutospacing="0" w:line="360" w:lineRule="auto"/>
        <w:ind w:firstLine="624"/>
        <w:jc w:val="both"/>
        <w:rPr>
          <w:color w:val="auto"/>
          <w:highlight w:val="none"/>
        </w:rPr>
      </w:pPr>
      <w:r>
        <w:rPr>
          <w:color w:val="auto"/>
          <w:highlight w:val="none"/>
        </w:rPr>
        <w:t> </w:t>
      </w:r>
    </w:p>
    <w:p w14:paraId="19A1113A">
      <w:pPr>
        <w:pStyle w:val="13"/>
        <w:tabs>
          <w:tab w:val="left" w:pos="4864"/>
        </w:tabs>
        <w:spacing w:beforeAutospacing="0" w:afterAutospacing="0" w:line="360" w:lineRule="auto"/>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供应商全称（加盖CA电子公章）：</w:t>
      </w:r>
    </w:p>
    <w:p w14:paraId="09023A2A">
      <w:pPr>
        <w:pStyle w:val="13"/>
        <w:tabs>
          <w:tab w:val="left" w:pos="4864"/>
        </w:tabs>
        <w:spacing w:beforeAutospacing="0" w:afterAutospacing="0" w:line="360" w:lineRule="auto"/>
        <w:ind w:right="1560" w:firstLine="480"/>
        <w:jc w:val="center"/>
        <w:rPr>
          <w:color w:val="auto"/>
          <w:highlight w:val="none"/>
        </w:rPr>
      </w:pPr>
      <w:r>
        <w:rPr>
          <w:rFonts w:hint="eastAsia" w:ascii="宋体" w:hAnsi="宋体" w:cs="宋体"/>
          <w:color w:val="auto"/>
          <w:highlight w:val="none"/>
        </w:rPr>
        <w:t>        日  期：</w:t>
      </w:r>
    </w:p>
    <w:p w14:paraId="4F13D7B2">
      <w:pPr>
        <w:pStyle w:val="13"/>
        <w:spacing w:beforeAutospacing="0" w:afterAutospacing="0" w:line="0" w:lineRule="atLeast"/>
        <w:jc w:val="center"/>
        <w:rPr>
          <w:color w:val="auto"/>
          <w:highlight w:val="none"/>
        </w:rPr>
      </w:pPr>
      <w:r>
        <w:rPr>
          <w:color w:val="auto"/>
          <w:highlight w:val="none"/>
        </w:rPr>
        <w:t> </w:t>
      </w:r>
    </w:p>
    <w:p w14:paraId="1786E3DB">
      <w:pPr>
        <w:pStyle w:val="13"/>
        <w:spacing w:beforeAutospacing="0" w:afterAutospacing="0" w:line="0" w:lineRule="atLeast"/>
        <w:jc w:val="center"/>
        <w:rPr>
          <w:color w:val="auto"/>
          <w:highlight w:val="none"/>
        </w:rPr>
      </w:pPr>
      <w:r>
        <w:rPr>
          <w:color w:val="auto"/>
          <w:highlight w:val="none"/>
        </w:rPr>
        <w:t> </w:t>
      </w:r>
    </w:p>
    <w:p w14:paraId="228ACFA6">
      <w:pPr>
        <w:pStyle w:val="13"/>
        <w:spacing w:beforeAutospacing="0" w:afterAutospacing="0" w:line="0" w:lineRule="atLeast"/>
        <w:jc w:val="center"/>
        <w:rPr>
          <w:color w:val="auto"/>
          <w:highlight w:val="none"/>
        </w:rPr>
      </w:pPr>
      <w:r>
        <w:rPr>
          <w:color w:val="auto"/>
          <w:highlight w:val="none"/>
        </w:rPr>
        <w:t> </w:t>
      </w:r>
    </w:p>
    <w:p w14:paraId="4EFC870D">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、联合体协议（参考格式）（分包号：**）</w:t>
      </w:r>
    </w:p>
    <w:p w14:paraId="4C85E2FD">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7A12DDFE">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自愿组成联合体，参加盐城市政府采购中心组织的采购编号为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21C05B98">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945472D">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39FAB35">
      <w:pPr>
        <w:pStyle w:val="13"/>
        <w:spacing w:beforeAutospacing="0" w:afterAutospacing="0" w:line="0" w:lineRule="atLeast"/>
        <w:ind w:firstLine="645"/>
        <w:jc w:val="both"/>
        <w:rPr>
          <w:color w:val="auto"/>
          <w:highlight w:val="none"/>
        </w:rPr>
      </w:pPr>
      <w:r>
        <w:rPr>
          <w:color w:val="auto"/>
          <w:highlight w:val="none"/>
        </w:rPr>
        <w:t> </w:t>
      </w:r>
    </w:p>
    <w:p w14:paraId="5D3967E1">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2D72F0C2">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74167D5B">
      <w:pPr>
        <w:pStyle w:val="13"/>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4EBD21C1">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53A8F829">
      <w:pPr>
        <w:pStyle w:val="13"/>
        <w:spacing w:beforeAutospacing="0" w:afterAutospacing="0" w:line="0" w:lineRule="atLeast"/>
        <w:ind w:firstLine="645"/>
        <w:jc w:val="both"/>
        <w:rPr>
          <w:color w:val="auto"/>
          <w:highlight w:val="none"/>
        </w:rPr>
      </w:pPr>
      <w:r>
        <w:rPr>
          <w:color w:val="auto"/>
          <w:highlight w:val="none"/>
        </w:rPr>
        <w:t> </w:t>
      </w:r>
    </w:p>
    <w:p w14:paraId="5C503386">
      <w:pPr>
        <w:pStyle w:val="13"/>
        <w:spacing w:beforeAutospacing="0" w:afterAutospacing="0" w:line="0" w:lineRule="atLeast"/>
        <w:jc w:val="both"/>
        <w:rPr>
          <w:color w:val="auto"/>
          <w:highlight w:val="none"/>
        </w:rPr>
      </w:pPr>
      <w:r>
        <w:rPr>
          <w:color w:val="auto"/>
          <w:highlight w:val="none"/>
        </w:rPr>
        <w:t> </w:t>
      </w:r>
    </w:p>
    <w:p w14:paraId="25F59513">
      <w:pPr>
        <w:pStyle w:val="13"/>
        <w:spacing w:beforeAutospacing="0" w:afterAutospacing="0" w:line="0" w:lineRule="atLeast"/>
        <w:jc w:val="both"/>
        <w:rPr>
          <w:color w:val="auto"/>
          <w:highlight w:val="none"/>
        </w:rPr>
      </w:pPr>
      <w:r>
        <w:rPr>
          <w:color w:val="auto"/>
          <w:highlight w:val="none"/>
        </w:rPr>
        <w:t> </w:t>
      </w:r>
    </w:p>
    <w:p w14:paraId="6076956D">
      <w:pPr>
        <w:pStyle w:val="13"/>
        <w:spacing w:beforeAutospacing="0" w:afterAutospacing="0" w:line="0" w:lineRule="atLeast"/>
        <w:jc w:val="both"/>
        <w:rPr>
          <w:color w:val="auto"/>
          <w:highlight w:val="none"/>
        </w:rPr>
      </w:pPr>
      <w:r>
        <w:rPr>
          <w:color w:val="auto"/>
          <w:highlight w:val="none"/>
        </w:rPr>
        <w:t> </w:t>
      </w:r>
    </w:p>
    <w:p w14:paraId="1D6B918C">
      <w:pPr>
        <w:pStyle w:val="13"/>
        <w:spacing w:beforeAutospacing="0" w:afterAutospacing="0" w:line="0" w:lineRule="atLeast"/>
        <w:jc w:val="both"/>
        <w:rPr>
          <w:color w:val="auto"/>
          <w:highlight w:val="none"/>
        </w:rPr>
      </w:pPr>
      <w:r>
        <w:rPr>
          <w:color w:val="auto"/>
          <w:highlight w:val="none"/>
        </w:rPr>
        <w:t> </w:t>
      </w:r>
    </w:p>
    <w:p w14:paraId="5F04FD17">
      <w:pPr>
        <w:pStyle w:val="13"/>
        <w:spacing w:beforeAutospacing="0" w:afterAutospacing="0" w:line="0" w:lineRule="atLeast"/>
        <w:jc w:val="both"/>
        <w:rPr>
          <w:color w:val="auto"/>
          <w:highlight w:val="none"/>
        </w:rPr>
      </w:pPr>
    </w:p>
    <w:p w14:paraId="6E763513">
      <w:pPr>
        <w:pStyle w:val="13"/>
        <w:spacing w:beforeAutospacing="0" w:afterAutospacing="0" w:line="0" w:lineRule="atLeast"/>
        <w:jc w:val="both"/>
        <w:rPr>
          <w:color w:val="auto"/>
          <w:highlight w:val="none"/>
        </w:rPr>
      </w:pPr>
    </w:p>
    <w:p w14:paraId="392F45B0">
      <w:pPr>
        <w:pStyle w:val="13"/>
        <w:spacing w:beforeAutospacing="0" w:afterAutospacing="0" w:line="0" w:lineRule="atLeast"/>
        <w:jc w:val="both"/>
        <w:rPr>
          <w:color w:val="auto"/>
          <w:highlight w:val="none"/>
        </w:rPr>
      </w:pPr>
    </w:p>
    <w:p w14:paraId="7B616180">
      <w:pPr>
        <w:pStyle w:val="13"/>
        <w:spacing w:beforeAutospacing="0" w:afterAutospacing="0" w:line="0" w:lineRule="atLeast"/>
        <w:jc w:val="both"/>
        <w:rPr>
          <w:color w:val="auto"/>
          <w:highlight w:val="none"/>
        </w:rPr>
      </w:pPr>
    </w:p>
    <w:p w14:paraId="323513F5">
      <w:pPr>
        <w:pStyle w:val="13"/>
        <w:spacing w:beforeAutospacing="0" w:afterAutospacing="0" w:line="0" w:lineRule="atLeast"/>
        <w:jc w:val="both"/>
        <w:rPr>
          <w:color w:val="auto"/>
          <w:highlight w:val="none"/>
        </w:rPr>
      </w:pPr>
    </w:p>
    <w:p w14:paraId="627EE525">
      <w:pPr>
        <w:pStyle w:val="13"/>
        <w:spacing w:beforeAutospacing="0" w:afterAutospacing="0" w:line="0" w:lineRule="atLeast"/>
        <w:jc w:val="both"/>
        <w:rPr>
          <w:color w:val="auto"/>
          <w:highlight w:val="none"/>
        </w:rPr>
      </w:pPr>
    </w:p>
    <w:p w14:paraId="2A61C58F">
      <w:pPr>
        <w:pStyle w:val="13"/>
        <w:spacing w:beforeAutospacing="0" w:afterAutospacing="0" w:line="0" w:lineRule="atLeast"/>
        <w:jc w:val="both"/>
        <w:rPr>
          <w:color w:val="auto"/>
          <w:highlight w:val="none"/>
        </w:rPr>
      </w:pPr>
    </w:p>
    <w:p w14:paraId="23BA27A3">
      <w:pPr>
        <w:pStyle w:val="13"/>
        <w:spacing w:beforeAutospacing="0" w:afterAutospacing="0" w:line="0" w:lineRule="atLeast"/>
        <w:jc w:val="both"/>
        <w:rPr>
          <w:color w:val="auto"/>
          <w:highlight w:val="none"/>
        </w:rPr>
      </w:pPr>
    </w:p>
    <w:p w14:paraId="07513CE2">
      <w:pPr>
        <w:pStyle w:val="13"/>
        <w:spacing w:beforeAutospacing="0" w:afterAutospacing="0" w:line="0" w:lineRule="atLeast"/>
        <w:jc w:val="both"/>
        <w:rPr>
          <w:color w:val="auto"/>
          <w:highlight w:val="none"/>
        </w:rPr>
      </w:pPr>
    </w:p>
    <w:p w14:paraId="4DB46F8C">
      <w:pPr>
        <w:pStyle w:val="13"/>
        <w:spacing w:beforeAutospacing="0" w:afterAutospacing="0" w:line="0" w:lineRule="atLeast"/>
        <w:jc w:val="both"/>
        <w:rPr>
          <w:color w:val="auto"/>
          <w:highlight w:val="none"/>
        </w:rPr>
      </w:pPr>
    </w:p>
    <w:p w14:paraId="599C7A5B">
      <w:pPr>
        <w:pStyle w:val="13"/>
        <w:spacing w:beforeAutospacing="0" w:afterAutospacing="0" w:line="0" w:lineRule="atLeast"/>
        <w:jc w:val="both"/>
        <w:rPr>
          <w:color w:val="auto"/>
          <w:highlight w:val="none"/>
        </w:rPr>
      </w:pPr>
    </w:p>
    <w:p w14:paraId="68FD159E">
      <w:pPr>
        <w:pStyle w:val="13"/>
        <w:spacing w:beforeAutospacing="0" w:afterAutospacing="0" w:line="0" w:lineRule="atLeast"/>
        <w:jc w:val="both"/>
        <w:rPr>
          <w:color w:val="auto"/>
          <w:highlight w:val="none"/>
        </w:rPr>
      </w:pPr>
    </w:p>
    <w:p w14:paraId="0D6597FD">
      <w:pPr>
        <w:pStyle w:val="13"/>
        <w:spacing w:beforeAutospacing="0" w:afterAutospacing="0" w:line="0" w:lineRule="atLeast"/>
        <w:jc w:val="both"/>
        <w:rPr>
          <w:color w:val="auto"/>
          <w:highlight w:val="none"/>
        </w:rPr>
      </w:pPr>
    </w:p>
    <w:p w14:paraId="75E75285">
      <w:pPr>
        <w:pStyle w:val="13"/>
        <w:spacing w:beforeAutospacing="0" w:afterAutospacing="0" w:line="0" w:lineRule="atLeast"/>
        <w:jc w:val="both"/>
        <w:rPr>
          <w:color w:val="auto"/>
          <w:highlight w:val="none"/>
        </w:rPr>
      </w:pPr>
    </w:p>
    <w:p w14:paraId="667FAEE1">
      <w:pPr>
        <w:pStyle w:val="13"/>
        <w:spacing w:beforeAutospacing="0" w:afterAutospacing="0" w:line="0" w:lineRule="atLeast"/>
        <w:jc w:val="both"/>
        <w:rPr>
          <w:color w:val="auto"/>
          <w:highlight w:val="none"/>
        </w:rPr>
      </w:pPr>
    </w:p>
    <w:p w14:paraId="4DB94E54">
      <w:pPr>
        <w:pStyle w:val="13"/>
        <w:spacing w:beforeAutospacing="0" w:afterAutospacing="0" w:line="0" w:lineRule="atLeast"/>
        <w:jc w:val="both"/>
        <w:rPr>
          <w:color w:val="auto"/>
          <w:highlight w:val="none"/>
        </w:rPr>
      </w:pPr>
    </w:p>
    <w:p w14:paraId="69654E77">
      <w:pPr>
        <w:pStyle w:val="13"/>
        <w:spacing w:beforeAutospacing="0" w:afterAutospacing="0" w:line="0" w:lineRule="atLeast"/>
        <w:jc w:val="both"/>
        <w:rPr>
          <w:color w:val="auto"/>
          <w:highlight w:val="none"/>
        </w:rPr>
      </w:pPr>
      <w:r>
        <w:rPr>
          <w:color w:val="auto"/>
          <w:highlight w:val="none"/>
        </w:rPr>
        <w:t> </w:t>
      </w:r>
    </w:p>
    <w:p w14:paraId="7927A4F4">
      <w:pPr>
        <w:pStyle w:val="13"/>
        <w:spacing w:beforeAutospacing="0" w:afterAutospacing="0" w:line="0" w:lineRule="atLeast"/>
        <w:jc w:val="both"/>
        <w:rPr>
          <w:color w:val="auto"/>
          <w:highlight w:val="none"/>
        </w:rPr>
      </w:pPr>
      <w:r>
        <w:rPr>
          <w:color w:val="auto"/>
          <w:highlight w:val="none"/>
        </w:rPr>
        <w:t> </w:t>
      </w:r>
    </w:p>
    <w:p w14:paraId="7BDB6AA4">
      <w:pPr>
        <w:pStyle w:val="13"/>
        <w:spacing w:beforeAutospacing="0" w:afterAutospacing="0"/>
        <w:jc w:val="both"/>
        <w:rPr>
          <w:color w:val="auto"/>
          <w:highlight w:val="none"/>
        </w:rPr>
      </w:pPr>
      <w:r>
        <w:rPr>
          <w:color w:val="auto"/>
          <w:highlight w:val="none"/>
        </w:rPr>
        <w:t> </w:t>
      </w:r>
    </w:p>
    <w:p w14:paraId="6934910E">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7BA20269">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、投标分项报价表（分包号：***）</w:t>
      </w:r>
    </w:p>
    <w:tbl>
      <w:tblPr>
        <w:tblStyle w:val="14"/>
        <w:tblW w:w="9415" w:type="dxa"/>
        <w:jc w:val="center"/>
        <w:tblCellSpacing w:w="0" w:type="dxa"/>
        <w:tblLayout w:type="fixed"/>
        <w:tblCellMar>
          <w:top w:w="0" w:type="dxa"/>
          <w:left w:w="108" w:type="dxa"/>
          <w:bottom w:w="0" w:type="dxa"/>
          <w:right w:w="108" w:type="dxa"/>
        </w:tblCellMar>
      </w:tblPr>
      <w:tblGrid>
        <w:gridCol w:w="604"/>
        <w:gridCol w:w="1101"/>
        <w:gridCol w:w="1000"/>
        <w:gridCol w:w="1435"/>
        <w:gridCol w:w="824"/>
        <w:gridCol w:w="1014"/>
        <w:gridCol w:w="769"/>
        <w:gridCol w:w="1395"/>
        <w:gridCol w:w="1273"/>
      </w:tblGrid>
      <w:tr w14:paraId="08FD4504">
        <w:tblPrEx>
          <w:tblCellMar>
            <w:top w:w="0" w:type="dxa"/>
            <w:left w:w="108" w:type="dxa"/>
            <w:bottom w:w="0" w:type="dxa"/>
            <w:right w:w="108" w:type="dxa"/>
          </w:tblCellMar>
        </w:tblPrEx>
        <w:trPr>
          <w:trHeight w:val="276" w:hRule="atLeast"/>
          <w:tblCellSpacing w:w="0" w:type="dxa"/>
          <w:jc w:val="center"/>
        </w:trPr>
        <w:tc>
          <w:tcPr>
            <w:tcW w:w="604" w:type="dxa"/>
            <w:vMerge w:val="restart"/>
            <w:tcBorders>
              <w:top w:val="single" w:color="000000" w:sz="4" w:space="0"/>
              <w:left w:val="single" w:color="000000" w:sz="4" w:space="0"/>
              <w:right w:val="single" w:color="000000" w:sz="4" w:space="0"/>
            </w:tcBorders>
            <w:shd w:val="clear" w:color="auto" w:fill="auto"/>
            <w:vAlign w:val="center"/>
          </w:tcPr>
          <w:p w14:paraId="5BAC029C">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70A0">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45F2">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8751">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CD77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DF5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CA7CE">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1F9C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261D">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r>
      <w:tr w14:paraId="53B9F513">
        <w:tblPrEx>
          <w:tblCellMar>
            <w:top w:w="0" w:type="dxa"/>
            <w:left w:w="108" w:type="dxa"/>
            <w:bottom w:w="0" w:type="dxa"/>
            <w:right w:w="108" w:type="dxa"/>
          </w:tblCellMar>
        </w:tblPrEx>
        <w:trPr>
          <w:trHeight w:val="419" w:hRule="atLeast"/>
          <w:tblCellSpacing w:w="0" w:type="dxa"/>
          <w:jc w:val="center"/>
        </w:trPr>
        <w:tc>
          <w:tcPr>
            <w:tcW w:w="604" w:type="dxa"/>
            <w:vMerge w:val="continue"/>
            <w:tcBorders>
              <w:left w:val="single" w:color="000000" w:sz="4" w:space="0"/>
              <w:bottom w:val="single" w:color="000000" w:sz="4" w:space="0"/>
              <w:right w:val="single" w:color="000000" w:sz="4" w:space="0"/>
            </w:tcBorders>
            <w:shd w:val="clear" w:color="auto" w:fill="auto"/>
            <w:vAlign w:val="center"/>
          </w:tcPr>
          <w:p w14:paraId="3178FA8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27FB">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产品</w:t>
            </w:r>
          </w:p>
          <w:p w14:paraId="1EA17486">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名称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182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品牌</w:t>
            </w: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1F3E">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规格</w:t>
            </w:r>
          </w:p>
          <w:p w14:paraId="246BB75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型号</w:t>
            </w: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866B">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产地</w:t>
            </w: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A7E2">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交付期</w:t>
            </w: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1CA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C05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分项单价</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A3DC">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分项总价</w:t>
            </w:r>
          </w:p>
        </w:tc>
      </w:tr>
      <w:tr w14:paraId="59C48F2B">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1B05">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rPr>
              <w:t>1</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D67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rPr>
              <w:t>财务大数据实践教学平台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374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0B40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2A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3E9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D33B1">
            <w:pPr>
              <w:widowControl/>
              <w:jc w:val="center"/>
              <w:textAlignment w:val="center"/>
              <w:rPr>
                <w:rFonts w:hint="eastAsia" w:ascii="宋体" w:hAnsi="宋体" w:eastAsia="宋体" w:cs="宋体"/>
                <w:color w:val="auto"/>
                <w:sz w:val="18"/>
                <w:szCs w:val="18"/>
                <w:highlight w:val="none"/>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764F">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812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03469CE">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FD8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186A">
            <w:pPr>
              <w:pStyle w:val="7"/>
              <w:keepNext w:val="0"/>
              <w:keepLines w:val="0"/>
              <w:pageBreakBefore w:val="0"/>
              <w:widowControl w:val="0"/>
              <w:kinsoku/>
              <w:wordWrap/>
              <w:overflowPunct/>
              <w:topLinePunct w:val="0"/>
              <w:bidi w:val="0"/>
              <w:adjustRightInd w:val="0"/>
              <w:snapToGrid w:val="0"/>
              <w:spacing w:after="0"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Excel在财务的应用教学平台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9A75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C22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6E7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DE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2577">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6177">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B95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3D16F9F">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CA6A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3</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C9B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系统管理软件</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2A7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11A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F66A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78E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65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2050">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570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B42569B">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7399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4</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1AE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风管机空调</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C5F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166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4DE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80D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FBC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48C3">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B43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053235F">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047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5</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44EF3">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实物投影仪</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A2F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A7D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138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069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F95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B0E3">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449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40D99E80">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978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6</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22A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网络设备</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2D1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37C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959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8EA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77F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6341">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C52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8D41308">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9B1E">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7</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97DB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多媒体讲台</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5B1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789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181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820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710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4293">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952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2CBBD3A">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FE0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8</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C7E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学生桌椅</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E0C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BD4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58A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28C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A0A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DA3C">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DEF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1D18A6E">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7CE7">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9</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E56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会计专用桌椅</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DB7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E0E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EEE4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A97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36C7">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1CBE">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475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F50F8DD">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48E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10</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591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凭证装订机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57F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179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775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494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89FA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19AA">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8D7D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3001FC5">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FA4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11</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6599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eastAsia="zh-CN"/>
              </w:rPr>
              <w:t>智能助教机器人</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A1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EAA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327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A2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15FC">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350A">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ACF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D6B3E8D">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C12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12</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33D8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智慧黑板</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716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9F7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2F4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CE2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0C581">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6196">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C038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093B4FF">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BD6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13</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AA40">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rPr>
              <w:t>布线、辅材</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EB4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F00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EAB2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5C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BFFC">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A876">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81E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8C55FA6">
        <w:tblPrEx>
          <w:tblCellMar>
            <w:top w:w="0" w:type="dxa"/>
            <w:left w:w="108" w:type="dxa"/>
            <w:bottom w:w="0" w:type="dxa"/>
            <w:right w:w="108" w:type="dxa"/>
          </w:tblCellMar>
        </w:tblPrEx>
        <w:trPr>
          <w:trHeight w:val="352" w:hRule="atLeast"/>
          <w:tblCellSpacing w:w="0" w:type="dxa"/>
          <w:jc w:val="center"/>
        </w:trPr>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F48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14</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2B8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sz w:val="18"/>
                <w:szCs w:val="18"/>
                <w:highlight w:val="none"/>
                <w:lang w:val="en-US" w:eastAsia="zh-CN"/>
              </w:rPr>
              <w:t>环境布置</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387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35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E59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15D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EC51">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D255">
            <w:pPr>
              <w:widowControl/>
              <w:jc w:val="center"/>
              <w:textAlignment w:val="center"/>
              <w:rPr>
                <w:rFonts w:hint="eastAsia" w:ascii="宋体" w:hAnsi="宋体" w:eastAsia="宋体" w:cs="宋体"/>
                <w:color w:val="auto"/>
                <w:sz w:val="18"/>
                <w:szCs w:val="18"/>
                <w:highlight w:val="none"/>
              </w:rPr>
            </w:pP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011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22B0CCD">
        <w:tblPrEx>
          <w:tblCellMar>
            <w:top w:w="0" w:type="dxa"/>
            <w:left w:w="108" w:type="dxa"/>
            <w:bottom w:w="0" w:type="dxa"/>
            <w:right w:w="108" w:type="dxa"/>
          </w:tblCellMar>
        </w:tblPrEx>
        <w:trPr>
          <w:trHeight w:val="218" w:hRule="atLeast"/>
          <w:tblCellSpacing w:w="0" w:type="dxa"/>
          <w:jc w:val="center"/>
        </w:trPr>
        <w:tc>
          <w:tcPr>
            <w:tcW w:w="8142"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7F2824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投标总报价（人民币：元）</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83B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bl>
    <w:p w14:paraId="7C4CCDB5">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p>
    <w:p w14:paraId="3638C8E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41E40F77">
      <w:pPr>
        <w:pStyle w:val="13"/>
        <w:keepNext w:val="0"/>
        <w:keepLines w:val="0"/>
        <w:pageBreakBefore w:val="0"/>
        <w:widowControl w:val="0"/>
        <w:kinsoku/>
        <w:wordWrap w:val="0"/>
        <w:overflowPunct/>
        <w:topLinePunct w:val="0"/>
        <w:autoSpaceDE/>
        <w:autoSpaceDN/>
        <w:bidi w:val="0"/>
        <w:adjustRightInd/>
        <w:snapToGrid/>
        <w:spacing w:beforeAutospacing="0" w:afterAutospacing="0" w:line="440" w:lineRule="exact"/>
        <w:ind w:firstLine="480" w:firstLineChars="200"/>
        <w:jc w:val="right"/>
        <w:textAlignment w:val="auto"/>
        <w:rPr>
          <w:rFonts w:hint="default" w:ascii="宋体" w:hAnsi="宋体" w:cs="宋体" w:eastAsiaTheme="minorEastAsia"/>
          <w:color w:val="auto"/>
          <w:sz w:val="24"/>
          <w:highlight w:val="none"/>
          <w:lang w:val="en-US" w:eastAsia="zh-CN"/>
        </w:rPr>
      </w:pPr>
      <w:r>
        <w:rPr>
          <w:color w:val="auto"/>
          <w:highlight w:val="none"/>
          <w:shd w:val="clear" w:color="auto" w:fill="auto"/>
        </w:rPr>
        <w:t> </w:t>
      </w:r>
      <w:r>
        <w:rPr>
          <w:rFonts w:hint="eastAsia" w:ascii="宋体" w:hAnsi="宋体" w:cs="宋体"/>
          <w:color w:val="auto"/>
          <w:sz w:val="24"/>
          <w:highlight w:val="none"/>
        </w:rPr>
        <w:t>法定代表人或被授权人（签字）：</w:t>
      </w:r>
      <w:r>
        <w:rPr>
          <w:rFonts w:hint="eastAsia" w:ascii="宋体" w:hAnsi="宋体" w:cs="宋体"/>
          <w:color w:val="auto"/>
          <w:sz w:val="24"/>
          <w:highlight w:val="none"/>
          <w:lang w:val="en-US" w:eastAsia="zh-CN"/>
        </w:rPr>
        <w:t xml:space="preserve">                           </w:t>
      </w:r>
    </w:p>
    <w:p w14:paraId="3F0F6AA3">
      <w:pPr>
        <w:keepNext w:val="0"/>
        <w:keepLines w:val="0"/>
        <w:pageBreakBefore w:val="0"/>
        <w:widowControl w:val="0"/>
        <w:kinsoku/>
        <w:overflowPunct/>
        <w:topLinePunct w:val="0"/>
        <w:autoSpaceDE/>
        <w:autoSpaceDN/>
        <w:bidi w:val="0"/>
        <w:adjustRightInd/>
        <w:snapToGrid/>
        <w:spacing w:line="440" w:lineRule="exact"/>
        <w:ind w:firstLine="1680"/>
        <w:textAlignment w:val="auto"/>
        <w:rPr>
          <w:rFonts w:hint="eastAsia" w:ascii="宋体" w:hAnsi="宋体" w:cs="宋体"/>
          <w:color w:val="auto"/>
          <w:sz w:val="24"/>
          <w:highlight w:val="none"/>
        </w:rPr>
      </w:pPr>
    </w:p>
    <w:p w14:paraId="59013D8F">
      <w:pPr>
        <w:keepNext w:val="0"/>
        <w:keepLines w:val="0"/>
        <w:pageBreakBefore w:val="0"/>
        <w:widowControl w:val="0"/>
        <w:kinsoku/>
        <w:overflowPunct/>
        <w:topLinePunct w:val="0"/>
        <w:autoSpaceDE/>
        <w:autoSpaceDN/>
        <w:bidi w:val="0"/>
        <w:adjustRightInd/>
        <w:snapToGrid/>
        <w:spacing w:line="440" w:lineRule="exact"/>
        <w:ind w:firstLine="2880"/>
        <w:textAlignment w:val="auto"/>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6ECA21DA">
      <w:pPr>
        <w:keepNext w:val="0"/>
        <w:keepLines w:val="0"/>
        <w:pageBreakBefore w:val="0"/>
        <w:widowControl w:val="0"/>
        <w:kinsoku/>
        <w:overflowPunct/>
        <w:topLinePunct w:val="0"/>
        <w:autoSpaceDE/>
        <w:autoSpaceDN/>
        <w:bidi w:val="0"/>
        <w:adjustRightInd/>
        <w:snapToGrid/>
        <w:spacing w:line="440" w:lineRule="exact"/>
        <w:ind w:firstLine="16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57E1BDF">
      <w:pPr>
        <w:keepNext w:val="0"/>
        <w:keepLines w:val="0"/>
        <w:pageBreakBefore w:val="0"/>
        <w:widowControl w:val="0"/>
        <w:kinsoku/>
        <w:overflowPunct/>
        <w:topLinePunct w:val="0"/>
        <w:autoSpaceDE/>
        <w:autoSpaceDN/>
        <w:bidi w:val="0"/>
        <w:adjustRightInd/>
        <w:snapToGrid/>
        <w:spacing w:line="440" w:lineRule="exact"/>
        <w:jc w:val="right"/>
        <w:textAlignment w:val="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68BBC5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auto"/>
          <w:highlight w:val="none"/>
          <w:shd w:val="clear" w:color="auto" w:fill="auto"/>
        </w:rPr>
      </w:pPr>
    </w:p>
    <w:p w14:paraId="5C05E01F">
      <w:pPr>
        <w:pStyle w:val="13"/>
        <w:spacing w:beforeAutospacing="0" w:afterAutospacing="0"/>
        <w:jc w:val="both"/>
        <w:rPr>
          <w:color w:val="auto"/>
          <w:highlight w:val="none"/>
        </w:rPr>
      </w:pPr>
      <w:r>
        <w:rPr>
          <w:color w:val="auto"/>
          <w:highlight w:val="none"/>
        </w:rPr>
        <w:t> </w:t>
      </w:r>
    </w:p>
    <w:p w14:paraId="1551C25B">
      <w:pPr>
        <w:pStyle w:val="13"/>
        <w:spacing w:beforeAutospacing="0" w:afterAutospacing="0"/>
        <w:jc w:val="both"/>
        <w:rPr>
          <w:color w:val="auto"/>
          <w:highlight w:val="none"/>
        </w:rPr>
      </w:pPr>
      <w:r>
        <w:rPr>
          <w:color w:val="auto"/>
          <w:highlight w:val="none"/>
        </w:rPr>
        <w:t> </w:t>
      </w:r>
    </w:p>
    <w:p w14:paraId="6081452C">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31527FAB">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、技术要求响应及偏离表（分包号：**）</w:t>
      </w:r>
    </w:p>
    <w:tbl>
      <w:tblPr>
        <w:tblStyle w:val="14"/>
        <w:tblW w:w="9636" w:type="dxa"/>
        <w:tblCellSpacing w:w="0" w:type="dxa"/>
        <w:tblInd w:w="10" w:type="dxa"/>
        <w:tblLayout w:type="fixed"/>
        <w:tblCellMar>
          <w:top w:w="0" w:type="dxa"/>
          <w:left w:w="108" w:type="dxa"/>
          <w:bottom w:w="0" w:type="dxa"/>
          <w:right w:w="108" w:type="dxa"/>
        </w:tblCellMar>
      </w:tblPr>
      <w:tblGrid>
        <w:gridCol w:w="608"/>
        <w:gridCol w:w="1711"/>
        <w:gridCol w:w="1712"/>
        <w:gridCol w:w="2950"/>
        <w:gridCol w:w="1410"/>
        <w:gridCol w:w="1245"/>
      </w:tblGrid>
      <w:tr w14:paraId="3E845044">
        <w:tblPrEx>
          <w:tblCellMar>
            <w:top w:w="0" w:type="dxa"/>
            <w:left w:w="108" w:type="dxa"/>
            <w:bottom w:w="0" w:type="dxa"/>
            <w:right w:w="108" w:type="dxa"/>
          </w:tblCellMar>
        </w:tblPrEx>
        <w:trPr>
          <w:trHeight w:val="634"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0DE05">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342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46AC6">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招标文件要求</w:t>
            </w: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2273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投标响应情况</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B2246">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超出、符合或偏离</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4E62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证明</w:t>
            </w:r>
          </w:p>
          <w:p w14:paraId="515C0915">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材料</w:t>
            </w:r>
          </w:p>
        </w:tc>
      </w:tr>
      <w:tr w14:paraId="7B4ADF91">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3912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rPr>
              <w:t>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59C3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财务大数据实践教学平台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2E81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A3D3D">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C478F">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1EE4E">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1CFC88D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7679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31D95">
            <w:pPr>
              <w:pStyle w:val="7"/>
              <w:keepNext w:val="0"/>
              <w:keepLines w:val="0"/>
              <w:pageBreakBefore w:val="0"/>
              <w:widowControl w:val="0"/>
              <w:kinsoku/>
              <w:wordWrap/>
              <w:overflowPunct/>
              <w:topLinePunct w:val="0"/>
              <w:bidi w:val="0"/>
              <w:adjustRightInd w:val="0"/>
              <w:snapToGrid w:val="0"/>
              <w:spacing w:after="0"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Excel在财务的应用教学平台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71E8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47E47">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D70A7">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CEEF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5E4ACEB7">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D1DD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4392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系统管理软件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6058B">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37B9F">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B7F4D">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42354">
            <w:pPr>
              <w:pStyle w:val="13"/>
              <w:spacing w:beforeAutospacing="0" w:afterAutospacing="0"/>
              <w:jc w:val="center"/>
              <w:rPr>
                <w:rFonts w:hint="eastAsia" w:ascii="宋体" w:hAnsi="宋体" w:eastAsia="宋体" w:cs="宋体"/>
                <w:color w:val="auto"/>
                <w:sz w:val="18"/>
                <w:szCs w:val="18"/>
                <w:highlight w:val="none"/>
              </w:rPr>
            </w:pPr>
          </w:p>
        </w:tc>
      </w:tr>
      <w:tr w14:paraId="31A41A7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76607">
            <w:pPr>
              <w:keepNext w:val="0"/>
              <w:keepLines w:val="0"/>
              <w:pageBreakBefore w:val="0"/>
              <w:widowControl w:val="0"/>
              <w:kinsoku/>
              <w:wordWrap/>
              <w:overflowPunct/>
              <w:topLinePunct w:val="0"/>
              <w:bidi w:val="0"/>
              <w:adjustRightInd w:val="0"/>
              <w:snapToGrid w:val="0"/>
              <w:spacing w:line="240" w:lineRule="auto"/>
              <w:jc w:val="center"/>
              <w:textAlignment w:val="auto"/>
              <w:rPr>
                <w:rFonts w:hint="default"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E635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风管机空调</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61AC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6878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1AB7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2A05F">
            <w:pPr>
              <w:pStyle w:val="13"/>
              <w:spacing w:beforeAutospacing="0" w:afterAutospacing="0"/>
              <w:jc w:val="center"/>
              <w:rPr>
                <w:rFonts w:hint="eastAsia" w:ascii="宋体" w:hAnsi="宋体" w:eastAsia="宋体" w:cs="宋体"/>
                <w:color w:val="auto"/>
                <w:sz w:val="18"/>
                <w:szCs w:val="18"/>
                <w:highlight w:val="none"/>
              </w:rPr>
            </w:pPr>
          </w:p>
        </w:tc>
      </w:tr>
      <w:tr w14:paraId="02427EE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03ED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0363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实物投影仪</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08AB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407C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F307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AC1FF">
            <w:pPr>
              <w:pStyle w:val="13"/>
              <w:spacing w:beforeAutospacing="0" w:afterAutospacing="0"/>
              <w:jc w:val="center"/>
              <w:rPr>
                <w:rFonts w:hint="eastAsia" w:ascii="宋体" w:hAnsi="宋体" w:eastAsia="宋体" w:cs="宋体"/>
                <w:color w:val="auto"/>
                <w:sz w:val="18"/>
                <w:szCs w:val="18"/>
                <w:highlight w:val="none"/>
              </w:rPr>
            </w:pPr>
          </w:p>
        </w:tc>
      </w:tr>
      <w:tr w14:paraId="26C45E2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B102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860E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网络设备</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1861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17A5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693CB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CB7F9">
            <w:pPr>
              <w:pStyle w:val="13"/>
              <w:spacing w:beforeAutospacing="0" w:afterAutospacing="0"/>
              <w:jc w:val="center"/>
              <w:rPr>
                <w:rFonts w:hint="eastAsia" w:ascii="宋体" w:hAnsi="宋体" w:eastAsia="宋体" w:cs="宋体"/>
                <w:color w:val="auto"/>
                <w:sz w:val="18"/>
                <w:szCs w:val="18"/>
                <w:highlight w:val="none"/>
              </w:rPr>
            </w:pPr>
          </w:p>
        </w:tc>
      </w:tr>
      <w:tr w14:paraId="183A6981">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0679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CCE3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多媒体讲台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45E3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1D473">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AF7FA">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A0E29">
            <w:pPr>
              <w:pStyle w:val="13"/>
              <w:spacing w:beforeAutospacing="0" w:afterAutospacing="0"/>
              <w:jc w:val="center"/>
              <w:rPr>
                <w:rFonts w:hint="eastAsia" w:ascii="宋体" w:hAnsi="宋体" w:eastAsia="宋体" w:cs="宋体"/>
                <w:color w:val="auto"/>
                <w:sz w:val="18"/>
                <w:szCs w:val="18"/>
                <w:highlight w:val="none"/>
              </w:rPr>
            </w:pPr>
          </w:p>
        </w:tc>
      </w:tr>
      <w:tr w14:paraId="61E2806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EA074">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kern w:val="0"/>
                <w:sz w:val="18"/>
                <w:szCs w:val="18"/>
                <w:highlight w:val="none"/>
                <w:lang w:val="en-US" w:eastAsia="zh-CN"/>
              </w:rPr>
              <w:t>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542A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学生桌椅</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D06A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57AB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B75C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8DFA2">
            <w:pPr>
              <w:pStyle w:val="13"/>
              <w:spacing w:beforeAutospacing="0" w:afterAutospacing="0"/>
              <w:jc w:val="center"/>
              <w:rPr>
                <w:rFonts w:hint="eastAsia" w:ascii="宋体" w:hAnsi="宋体" w:eastAsia="宋体" w:cs="宋体"/>
                <w:color w:val="auto"/>
                <w:sz w:val="18"/>
                <w:szCs w:val="18"/>
                <w:highlight w:val="none"/>
              </w:rPr>
            </w:pPr>
          </w:p>
        </w:tc>
      </w:tr>
      <w:tr w14:paraId="25FAF68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E015D">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FFF6C9">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会计专用桌椅</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41F5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CC768C">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0EF3E">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7D822">
            <w:pPr>
              <w:pStyle w:val="13"/>
              <w:spacing w:beforeAutospacing="0" w:afterAutospacing="0"/>
              <w:jc w:val="center"/>
              <w:rPr>
                <w:rFonts w:hint="eastAsia" w:ascii="宋体" w:hAnsi="宋体" w:eastAsia="宋体" w:cs="宋体"/>
                <w:color w:val="auto"/>
                <w:sz w:val="18"/>
                <w:szCs w:val="18"/>
                <w:highlight w:val="none"/>
              </w:rPr>
            </w:pPr>
          </w:p>
        </w:tc>
      </w:tr>
      <w:tr w14:paraId="5C367F74">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F998DB">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078E6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凭证装订机</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F365F">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A609D">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16DF9">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9A7EB">
            <w:pPr>
              <w:pStyle w:val="13"/>
              <w:spacing w:beforeAutospacing="0" w:afterAutospacing="0"/>
              <w:jc w:val="center"/>
              <w:rPr>
                <w:rFonts w:hint="eastAsia" w:ascii="宋体" w:hAnsi="宋体" w:eastAsia="宋体" w:cs="宋体"/>
                <w:color w:val="auto"/>
                <w:sz w:val="18"/>
                <w:szCs w:val="18"/>
                <w:highlight w:val="none"/>
              </w:rPr>
            </w:pPr>
          </w:p>
        </w:tc>
      </w:tr>
      <w:tr w14:paraId="28564DC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D96B0C">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68051F">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eastAsia="zh-CN"/>
              </w:rPr>
              <w:t>智能助教机器人</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70C3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0E98E">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DBBA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51098">
            <w:pPr>
              <w:pStyle w:val="13"/>
              <w:spacing w:beforeAutospacing="0" w:afterAutospacing="0"/>
              <w:jc w:val="center"/>
              <w:rPr>
                <w:rFonts w:hint="eastAsia" w:ascii="宋体" w:hAnsi="宋体" w:eastAsia="宋体" w:cs="宋体"/>
                <w:color w:val="auto"/>
                <w:sz w:val="18"/>
                <w:szCs w:val="18"/>
                <w:highlight w:val="none"/>
              </w:rPr>
            </w:pPr>
          </w:p>
        </w:tc>
      </w:tr>
      <w:tr w14:paraId="3EE2C5F3">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99A7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7E73A">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智慧黑板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1644F">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49BE79">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AA1A5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DB7748">
            <w:pPr>
              <w:pStyle w:val="13"/>
              <w:spacing w:beforeAutospacing="0" w:afterAutospacing="0"/>
              <w:jc w:val="center"/>
              <w:rPr>
                <w:rFonts w:hint="eastAsia" w:ascii="宋体" w:hAnsi="宋体" w:eastAsia="宋体" w:cs="宋体"/>
                <w:color w:val="auto"/>
                <w:sz w:val="18"/>
                <w:szCs w:val="18"/>
                <w:highlight w:val="none"/>
              </w:rPr>
            </w:pPr>
          </w:p>
        </w:tc>
      </w:tr>
      <w:tr w14:paraId="11C689F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D7836">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847E1">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rPr>
              <w:t>布线、辅材</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3238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BC67B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A11B96">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EA264">
            <w:pPr>
              <w:pStyle w:val="13"/>
              <w:spacing w:beforeAutospacing="0" w:afterAutospacing="0"/>
              <w:jc w:val="center"/>
              <w:rPr>
                <w:rFonts w:hint="eastAsia" w:ascii="宋体" w:hAnsi="宋体" w:eastAsia="宋体" w:cs="宋体"/>
                <w:color w:val="auto"/>
                <w:sz w:val="18"/>
                <w:szCs w:val="18"/>
                <w:highlight w:val="none"/>
              </w:rPr>
            </w:pPr>
          </w:p>
        </w:tc>
      </w:tr>
      <w:tr w14:paraId="168E63B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C0678">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rPr>
            </w:pPr>
            <w:r>
              <w:rPr>
                <w:rFonts w:hint="eastAsia" w:ascii="仿宋" w:hAnsi="仿宋" w:eastAsia="仿宋" w:cs="仿宋"/>
                <w:color w:val="auto"/>
                <w:kern w:val="0"/>
                <w:sz w:val="18"/>
                <w:szCs w:val="18"/>
                <w:highlight w:val="none"/>
                <w:lang w:val="en-US" w:eastAsia="zh-CN"/>
              </w:rPr>
              <w:t>14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CDAD2">
            <w:pPr>
              <w:keepNext w:val="0"/>
              <w:keepLines w:val="0"/>
              <w:pageBreakBefore w:val="0"/>
              <w:widowControl w:val="0"/>
              <w:kinsoku/>
              <w:wordWrap/>
              <w:overflowPunct/>
              <w:topLinePunct w:val="0"/>
              <w:bidi w:val="0"/>
              <w:adjustRightInd w:val="0"/>
              <w:snapToGrid w:val="0"/>
              <w:spacing w:line="240" w:lineRule="auto"/>
              <w:jc w:val="center"/>
              <w:textAlignment w:val="auto"/>
              <w:rPr>
                <w:rFonts w:hint="eastAsia" w:ascii="宋体" w:hAnsi="宋体" w:eastAsia="宋体" w:cs="宋体"/>
                <w:color w:val="auto"/>
                <w:sz w:val="18"/>
                <w:szCs w:val="18"/>
                <w:highlight w:val="none"/>
                <w:lang w:val="en-US" w:eastAsia="zh-CN"/>
              </w:rPr>
            </w:pPr>
            <w:r>
              <w:rPr>
                <w:rFonts w:hint="eastAsia" w:ascii="仿宋" w:hAnsi="仿宋" w:eastAsia="仿宋" w:cs="仿宋"/>
                <w:color w:val="auto"/>
                <w:sz w:val="18"/>
                <w:szCs w:val="18"/>
                <w:highlight w:val="none"/>
                <w:lang w:val="en-US" w:eastAsia="zh-CN"/>
              </w:rPr>
              <w:t>环境布置</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E99E4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39E22">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5B12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861C2">
            <w:pPr>
              <w:pStyle w:val="13"/>
              <w:spacing w:beforeAutospacing="0" w:afterAutospacing="0"/>
              <w:jc w:val="center"/>
              <w:rPr>
                <w:rFonts w:hint="eastAsia" w:ascii="宋体" w:hAnsi="宋体" w:eastAsia="宋体" w:cs="宋体"/>
                <w:color w:val="auto"/>
                <w:sz w:val="18"/>
                <w:szCs w:val="18"/>
                <w:highlight w:val="none"/>
              </w:rPr>
            </w:pPr>
          </w:p>
        </w:tc>
      </w:tr>
    </w:tbl>
    <w:p w14:paraId="357A48A2">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71365F6">
      <w:pPr>
        <w:pStyle w:val="13"/>
        <w:spacing w:beforeAutospacing="0" w:afterAutospacing="0"/>
        <w:jc w:val="center"/>
        <w:rPr>
          <w:color w:val="auto"/>
          <w:highlight w:val="none"/>
        </w:rPr>
      </w:pPr>
      <w:r>
        <w:rPr>
          <w:color w:val="auto"/>
          <w:highlight w:val="none"/>
        </w:rPr>
        <w:t> </w:t>
      </w:r>
    </w:p>
    <w:p w14:paraId="05876D35">
      <w:pPr>
        <w:pStyle w:val="13"/>
        <w:spacing w:beforeAutospacing="0" w:afterAutospacing="0"/>
        <w:jc w:val="both"/>
        <w:rPr>
          <w:rFonts w:hint="eastAsia"/>
          <w:b/>
          <w:bCs/>
          <w:color w:val="auto"/>
          <w:highlight w:val="none"/>
          <w:lang w:val="en-US" w:eastAsia="zh-CN"/>
        </w:rPr>
      </w:pPr>
      <w:r>
        <w:rPr>
          <w:rFonts w:hint="eastAsia"/>
          <w:b/>
          <w:bCs/>
          <w:color w:val="auto"/>
          <w:highlight w:val="none"/>
          <w:lang w:val="en-US" w:eastAsia="zh-CN"/>
        </w:rPr>
        <w:t>上表内容须提供“第四章 采购需求”中要求的证明材料，作为填列证明材料附在本表之后。</w:t>
      </w:r>
    </w:p>
    <w:p w14:paraId="4550A00C">
      <w:pPr>
        <w:pStyle w:val="13"/>
        <w:spacing w:beforeAutospacing="0" w:afterAutospacing="0"/>
        <w:jc w:val="both"/>
        <w:rPr>
          <w:color w:val="auto"/>
          <w:highlight w:val="none"/>
        </w:rPr>
      </w:pPr>
      <w:r>
        <w:rPr>
          <w:color w:val="auto"/>
          <w:highlight w:val="none"/>
        </w:rPr>
        <w:t> </w:t>
      </w:r>
    </w:p>
    <w:p w14:paraId="694BA2D5">
      <w:pPr>
        <w:spacing w:line="600" w:lineRule="exact"/>
        <w:ind w:firstLine="2880"/>
        <w:rPr>
          <w:rFonts w:hint="eastAsia" w:ascii="宋体" w:hAnsi="宋体" w:cs="宋体"/>
          <w:color w:val="auto"/>
          <w:sz w:val="24"/>
          <w:highlight w:val="none"/>
        </w:rPr>
      </w:pPr>
      <w:r>
        <w:rPr>
          <w:color w:val="auto"/>
          <w:highlight w:val="none"/>
        </w:rPr>
        <w:t> </w:t>
      </w:r>
      <w:r>
        <w:rPr>
          <w:rFonts w:hint="eastAsia" w:ascii="宋体" w:hAnsi="宋体" w:cs="宋体"/>
          <w:color w:val="auto"/>
          <w:sz w:val="24"/>
          <w:highlight w:val="none"/>
        </w:rPr>
        <w:t>法定代表人或被授权人（签字）：</w:t>
      </w:r>
    </w:p>
    <w:p w14:paraId="0116915C">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076A24B2">
      <w:pPr>
        <w:pStyle w:val="13"/>
        <w:spacing w:beforeAutospacing="0" w:afterAutospacing="0"/>
        <w:jc w:val="right"/>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bookmarkStart w:id="193" w:name="_Hlt26955054"/>
    </w:p>
    <w:p w14:paraId="057B1D98">
      <w:pPr>
        <w:rPr>
          <w:color w:val="auto"/>
          <w:highlight w:val="none"/>
        </w:rPr>
      </w:pPr>
      <w:r>
        <w:rPr>
          <w:color w:val="auto"/>
          <w:highlight w:val="none"/>
        </w:rPr>
        <w:br w:type="page"/>
      </w:r>
    </w:p>
    <w:p w14:paraId="71387F39">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、商务要求响应及偏离表（分包号：**）</w:t>
      </w:r>
    </w:p>
    <w:tbl>
      <w:tblPr>
        <w:tblStyle w:val="14"/>
        <w:tblW w:w="9738" w:type="dxa"/>
        <w:tblCellSpacing w:w="0" w:type="dxa"/>
        <w:tblInd w:w="10" w:type="dxa"/>
        <w:tblLayout w:type="fixed"/>
        <w:tblCellMar>
          <w:top w:w="0" w:type="dxa"/>
          <w:left w:w="108" w:type="dxa"/>
          <w:bottom w:w="0" w:type="dxa"/>
          <w:right w:w="108" w:type="dxa"/>
        </w:tblCellMar>
      </w:tblPr>
      <w:tblGrid>
        <w:gridCol w:w="615"/>
        <w:gridCol w:w="3969"/>
        <w:gridCol w:w="2471"/>
        <w:gridCol w:w="1425"/>
        <w:gridCol w:w="1258"/>
      </w:tblGrid>
      <w:tr w14:paraId="5A60027B">
        <w:tblPrEx>
          <w:tblCellMar>
            <w:top w:w="0" w:type="dxa"/>
            <w:left w:w="108" w:type="dxa"/>
            <w:bottom w:w="0" w:type="dxa"/>
            <w:right w:w="108" w:type="dxa"/>
          </w:tblCellMar>
        </w:tblPrEx>
        <w:trPr>
          <w:trHeight w:val="372"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CD8B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bookmarkStart w:id="194" w:name="_Hlt26671343"/>
            <w:bookmarkStart w:id="195" w:name="_Hlt26609391"/>
            <w:bookmarkStart w:id="196" w:name="_Hlt26955064"/>
            <w:bookmarkStart w:id="197" w:name="_Hlt24879081"/>
            <w:bookmarkStart w:id="198" w:name="_Hlt26955056"/>
            <w:bookmarkStart w:id="199" w:name="_Hlt26671372"/>
            <w:bookmarkStart w:id="200" w:name="_Hlt26782999"/>
            <w:bookmarkStart w:id="201" w:name="_Hlt26580838"/>
            <w:r>
              <w:rPr>
                <w:rFonts w:hint="eastAsia" w:ascii="宋体" w:hAnsi="宋体" w:eastAsia="宋体" w:cs="宋体"/>
                <w:color w:val="auto"/>
                <w:sz w:val="21"/>
                <w:szCs w:val="21"/>
                <w:highlight w:val="none"/>
              </w:rPr>
              <w:t>序号</w:t>
            </w:r>
            <w:bookmarkEnd w:id="194"/>
            <w:bookmarkEnd w:id="195"/>
            <w:bookmarkEnd w:id="196"/>
            <w:bookmarkEnd w:id="197"/>
            <w:bookmarkEnd w:id="198"/>
            <w:bookmarkEnd w:id="199"/>
            <w:bookmarkEnd w:id="200"/>
            <w:bookmarkEnd w:id="201"/>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A769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0B27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投标响应情况</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203E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超出、符合或偏离</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788B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证明</w:t>
            </w:r>
          </w:p>
          <w:p w14:paraId="1BDD3D28">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材料</w:t>
            </w:r>
          </w:p>
        </w:tc>
      </w:tr>
      <w:tr w14:paraId="255B2B2B">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FE880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1</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B701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项目完成时间：</w:t>
            </w:r>
            <w:r>
              <w:rPr>
                <w:rFonts w:hint="eastAsia" w:ascii="宋体" w:hAnsi="宋体" w:eastAsia="宋体" w:cs="宋体"/>
                <w:color w:val="auto"/>
                <w:sz w:val="21"/>
                <w:szCs w:val="21"/>
                <w:highlight w:val="none"/>
                <w:lang w:eastAsia="zh-CN"/>
              </w:rPr>
              <w:t>合同签订后15日内全部送达招标人指定地点，并安装调试完毕（具体时间按招标人要求调整）。</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5978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FAA6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DD45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1552409B">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5110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2</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FCCA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项目地点：采购人指定地点。</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887A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D41E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350D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BEF8E8D">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1340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3</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F5C1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根据采购单位要求，中标人提供现场操作培训，至操作人员可熟练操作。 </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80A6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D1E9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4B84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46FD18DB">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598C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4</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FE0C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验收合格后，软件平台提供不少于一年的免费维保期，硬件设备提供不少于三年的免费维保期。在免费维保期内，中标单位接到服务请求后，应保证在2小时内及时响应并提供服务，6小时内解决故障并恢复正常运行。对于重大事故或其他重要事件，应保证4小时内到达现场服务；应急故障处理：系统运行环境出现故障或意外情况导致系统不能正常运行时，投标单位应做到7*24小时响应；</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53E6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D440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ADAC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9BE5220">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0987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5</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59D3E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（三）验收</w:t>
            </w:r>
          </w:p>
          <w:p w14:paraId="300E937B">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按采购人的招标文件、投标人的响应文件、国家及行业相关规定验收。</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A3549">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3574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5931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r w14:paraId="0F204344">
        <w:tblPrEx>
          <w:tblCellMar>
            <w:top w:w="0" w:type="dxa"/>
            <w:left w:w="108" w:type="dxa"/>
            <w:bottom w:w="0" w:type="dxa"/>
            <w:right w:w="108" w:type="dxa"/>
          </w:tblCellMar>
        </w:tblPrEx>
        <w:trPr>
          <w:trHeight w:val="179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A308E">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6</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5E9E21">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（四）付款方式：</w:t>
            </w:r>
          </w:p>
          <w:p w14:paraId="640ED88B">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（1）合同签订后5日内，支付合同金额30%的预付款。</w:t>
            </w:r>
          </w:p>
          <w:p w14:paraId="212A0946">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（2）经验收合格后</w:t>
            </w:r>
            <w:r>
              <w:rPr>
                <w:rFonts w:hint="eastAsia" w:ascii="宋体" w:hAnsi="宋体" w:eastAsia="宋体" w:cs="宋体"/>
                <w:color w:val="auto"/>
                <w:sz w:val="21"/>
                <w:szCs w:val="21"/>
                <w:highlight w:val="none"/>
                <w:lang w:eastAsia="zh-CN"/>
              </w:rPr>
              <w:t>支付合同金额的60%</w:t>
            </w:r>
            <w:r>
              <w:rPr>
                <w:rFonts w:hint="eastAsia" w:ascii="宋体" w:hAnsi="宋体" w:eastAsia="宋体" w:cs="宋体"/>
                <w:color w:val="auto"/>
                <w:sz w:val="21"/>
                <w:szCs w:val="21"/>
                <w:highlight w:val="none"/>
              </w:rPr>
              <w:t>。</w:t>
            </w:r>
          </w:p>
          <w:p w14:paraId="03608C93">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（3）验收合格之日起满</w:t>
            </w:r>
            <w:r>
              <w:rPr>
                <w:rFonts w:hint="eastAsia" w:ascii="宋体" w:hAnsi="宋体" w:eastAsia="宋体" w:cs="宋体"/>
                <w:color w:val="auto"/>
                <w:sz w:val="21"/>
                <w:szCs w:val="21"/>
                <w:highlight w:val="none"/>
                <w:lang w:eastAsia="zh-CN"/>
              </w:rPr>
              <w:t>1年支付合同金额10%</w:t>
            </w:r>
            <w:r>
              <w:rPr>
                <w:rFonts w:hint="eastAsia" w:ascii="宋体" w:hAnsi="宋体" w:eastAsia="宋体" w:cs="宋体"/>
                <w:color w:val="auto"/>
                <w:sz w:val="21"/>
                <w:szCs w:val="21"/>
                <w:highlight w:val="none"/>
              </w:rPr>
              <w:t>。</w:t>
            </w:r>
          </w:p>
          <w:p w14:paraId="31760407">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（4）剩余部分从验收合格第2年起每满1年支付合同金额的10%，直至付清。</w:t>
            </w:r>
          </w:p>
          <w:p w14:paraId="0B23D7CC">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（5）在签订合同时，乙方明确表示无需预付款或者主动要求降低预付款比例的，甲方可不适用上述关于预付款的规定。</w:t>
            </w:r>
          </w:p>
          <w:p w14:paraId="52148D15">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（6）结算款项时乙方须出具相应金额的有效票据。</w:t>
            </w:r>
          </w:p>
          <w:p w14:paraId="3E27FBAD">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（7）甲方原则上自收到发票后10个工作日内将资金支付到乙方账户</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5679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0CEA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B591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r>
    </w:tbl>
    <w:p w14:paraId="7D50DE91">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370A3098">
      <w:pPr>
        <w:spacing w:line="600" w:lineRule="exact"/>
        <w:ind w:firstLine="2880"/>
        <w:rPr>
          <w:rFonts w:hint="eastAsia" w:ascii="宋体" w:hAnsi="宋体" w:cs="宋体"/>
          <w:color w:val="auto"/>
          <w:sz w:val="24"/>
          <w:highlight w:val="none"/>
        </w:rPr>
      </w:pPr>
      <w:bookmarkStart w:id="202" w:name="_Hlt26955066"/>
      <w:bookmarkStart w:id="203" w:name="_Toc462564146"/>
      <w:bookmarkStart w:id="204" w:name="_Hlt26671374"/>
      <w:bookmarkStart w:id="205" w:name="_Hlt26609389"/>
      <w:bookmarkStart w:id="206" w:name="_格式2__法定代表人授权书"/>
      <w:r>
        <w:rPr>
          <w:color w:val="auto"/>
          <w:highlight w:val="none"/>
        </w:rPr>
        <w:t> </w:t>
      </w:r>
      <w:r>
        <w:rPr>
          <w:rFonts w:hint="eastAsia" w:ascii="宋体" w:hAnsi="宋体" w:cs="宋体"/>
          <w:color w:val="auto"/>
          <w:sz w:val="24"/>
          <w:highlight w:val="none"/>
        </w:rPr>
        <w:t>法定代表人或被授权人（签字）：</w:t>
      </w:r>
    </w:p>
    <w:p w14:paraId="1E1D470F">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4C51EC4C">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黑体" w:hAnsi="宋体" w:eastAsia="黑体" w:cs="黑体"/>
          <w:b/>
          <w:i/>
          <w:color w:val="auto"/>
          <w:sz w:val="32"/>
          <w:szCs w:val="32"/>
          <w:highlight w:val="none"/>
          <w:u w:val="single"/>
        </w:rPr>
        <w:br w:type="page"/>
      </w:r>
    </w:p>
    <w:p w14:paraId="7FF3F3BE">
      <w:pPr>
        <w:pStyle w:val="13"/>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r>
        <w:rPr>
          <w:rFonts w:ascii="Times New Roman" w:hAnsi="Times New Roman"/>
          <w:color w:val="auto"/>
          <w:sz w:val="21"/>
          <w:szCs w:val="21"/>
          <w:highlight w:val="none"/>
          <w:shd w:val="clear" w:color="auto" w:fill="auto"/>
        </w:rPr>
        <w:t>（备注：经办人在有总报价有核心产品时选用。确定后该备注删除。）</w:t>
      </w:r>
    </w:p>
    <w:p w14:paraId="1C823E39">
      <w:pPr>
        <w:pStyle w:val="13"/>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1DA72096">
      <w:pPr>
        <w:pStyle w:val="1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102F0B22">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6462CAF9">
      <w:pPr>
        <w:pStyle w:val="13"/>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4"/>
        <w:tblW w:w="8413" w:type="dxa"/>
        <w:tblCellSpacing w:w="0" w:type="dxa"/>
        <w:tblInd w:w="118" w:type="dxa"/>
        <w:tblLayout w:type="fixed"/>
        <w:tblCellMar>
          <w:top w:w="0" w:type="dxa"/>
          <w:left w:w="108" w:type="dxa"/>
          <w:bottom w:w="0" w:type="dxa"/>
          <w:right w:w="108" w:type="dxa"/>
        </w:tblCellMar>
      </w:tblPr>
      <w:tblGrid>
        <w:gridCol w:w="2349"/>
        <w:gridCol w:w="6064"/>
      </w:tblGrid>
      <w:tr w14:paraId="3A79DB80">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C30B22">
            <w:pPr>
              <w:pStyle w:val="1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6225C080">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46259">
            <w:pPr>
              <w:pStyle w:val="13"/>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06594AA3">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AF36E6">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55FAA5E3">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6145">
            <w:pPr>
              <w:pStyle w:val="13"/>
              <w:spacing w:beforeAutospacing="0" w:afterAutospacing="0" w:line="300" w:lineRule="auto"/>
              <w:jc w:val="center"/>
              <w:rPr>
                <w:color w:val="auto"/>
                <w:highlight w:val="none"/>
              </w:rPr>
            </w:pPr>
            <w:r>
              <w:rPr>
                <w:rFonts w:hint="eastAsia" w:ascii="宋体" w:hAnsi="宋体" w:eastAsia="宋体" w:cs="宋体"/>
                <w:color w:val="auto"/>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DEBF">
            <w:pPr>
              <w:pStyle w:val="13"/>
              <w:spacing w:beforeAutospacing="0" w:afterAutospacing="0" w:line="0" w:lineRule="atLeast"/>
              <w:rPr>
                <w:color w:val="auto"/>
                <w:highlight w:val="none"/>
              </w:rPr>
            </w:pPr>
            <w:r>
              <w:rPr>
                <w:color w:val="auto"/>
                <w:highlight w:val="none"/>
              </w:rPr>
              <w:t> </w:t>
            </w:r>
          </w:p>
        </w:tc>
      </w:tr>
    </w:tbl>
    <w:p w14:paraId="3E3B5BB4">
      <w:pPr>
        <w:pStyle w:val="13"/>
        <w:spacing w:beforeAutospacing="0" w:afterAutospacing="0"/>
        <w:jc w:val="both"/>
        <w:rPr>
          <w:color w:val="auto"/>
          <w:highlight w:val="none"/>
        </w:rPr>
      </w:pPr>
      <w:r>
        <w:rPr>
          <w:color w:val="auto"/>
          <w:highlight w:val="none"/>
        </w:rPr>
        <w:t> </w:t>
      </w:r>
    </w:p>
    <w:p w14:paraId="351E33CD">
      <w:pPr>
        <w:pStyle w:val="1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CF56E56">
      <w:pPr>
        <w:pStyle w:val="13"/>
        <w:spacing w:beforeAutospacing="0" w:afterAutospacing="0"/>
        <w:jc w:val="both"/>
        <w:rPr>
          <w:color w:val="auto"/>
          <w:highlight w:val="none"/>
        </w:rPr>
      </w:pPr>
      <w:r>
        <w:rPr>
          <w:color w:val="auto"/>
          <w:highlight w:val="none"/>
        </w:rPr>
        <w:t> </w:t>
      </w:r>
    </w:p>
    <w:p w14:paraId="55F06915">
      <w:pPr>
        <w:widowControl/>
        <w:spacing w:before="50" w:after="50"/>
        <w:jc w:val="center"/>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十</w:t>
      </w:r>
      <w:r>
        <w:rPr>
          <w:rFonts w:hint="eastAsia" w:ascii="宋体" w:hAnsi="宋体" w:eastAsia="宋体" w:cs="宋体"/>
          <w:b/>
          <w:bCs/>
          <w:i/>
          <w:iCs/>
          <w:color w:val="auto"/>
          <w:sz w:val="32"/>
          <w:szCs w:val="32"/>
          <w:highlight w:val="none"/>
          <w:u w:val="single"/>
          <w:lang w:val="en-US" w:eastAsia="zh-CN"/>
        </w:rPr>
        <w:t>七</w:t>
      </w:r>
      <w:r>
        <w:rPr>
          <w:rFonts w:hint="eastAsia" w:ascii="宋体" w:hAnsi="宋体" w:eastAsia="宋体" w:cs="宋体"/>
          <w:b/>
          <w:bCs/>
          <w:i/>
          <w:iCs/>
          <w:color w:val="auto"/>
          <w:sz w:val="32"/>
          <w:szCs w:val="32"/>
          <w:highlight w:val="none"/>
          <w:u w:val="single"/>
        </w:rPr>
        <w:t>、技术方案、服务承诺、培训承诺等</w:t>
      </w:r>
    </w:p>
    <w:p w14:paraId="4AE8D271">
      <w:pPr>
        <w:pStyle w:val="13"/>
        <w:spacing w:beforeAutospacing="0" w:afterAutospacing="0"/>
        <w:jc w:val="center"/>
        <w:rPr>
          <w:rFonts w:ascii="宋体" w:hAnsi="宋体" w:eastAsia="宋体" w:cs="宋体"/>
          <w:b/>
          <w:color w:val="auto"/>
          <w:sz w:val="32"/>
          <w:szCs w:val="32"/>
          <w:highlight w:val="none"/>
        </w:rPr>
      </w:pPr>
    </w:p>
    <w:p w14:paraId="60BAAF8A">
      <w:pPr>
        <w:pStyle w:val="13"/>
        <w:spacing w:beforeAutospacing="0" w:afterAutospacing="0"/>
        <w:jc w:val="center"/>
        <w:rPr>
          <w:rFonts w:ascii="宋体" w:hAnsi="宋体" w:eastAsia="宋体" w:cs="宋体"/>
          <w:b/>
          <w:color w:val="auto"/>
          <w:sz w:val="32"/>
          <w:szCs w:val="32"/>
          <w:highlight w:val="none"/>
        </w:rPr>
      </w:pPr>
    </w:p>
    <w:p w14:paraId="22072A4C">
      <w:pPr>
        <w:pStyle w:val="13"/>
        <w:spacing w:beforeAutospacing="0" w:afterAutospacing="0"/>
        <w:jc w:val="center"/>
        <w:rPr>
          <w:rFonts w:ascii="宋体" w:hAnsi="宋体" w:eastAsia="宋体" w:cs="宋体"/>
          <w:b/>
          <w:color w:val="auto"/>
          <w:sz w:val="32"/>
          <w:szCs w:val="32"/>
          <w:highlight w:val="none"/>
        </w:rPr>
      </w:pPr>
    </w:p>
    <w:p w14:paraId="22BAA193">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48523D3">
      <w:pPr>
        <w:pStyle w:val="13"/>
        <w:spacing w:beforeAutospacing="0" w:afterAutospacing="0"/>
        <w:jc w:val="center"/>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十</w:t>
      </w:r>
      <w:r>
        <w:rPr>
          <w:rFonts w:hint="eastAsia" w:ascii="黑体" w:hAnsi="宋体" w:eastAsia="黑体" w:cs="黑体"/>
          <w:b w:val="0"/>
          <w:bCs/>
          <w:i/>
          <w:iCs w:val="0"/>
          <w:color w:val="auto"/>
          <w:sz w:val="32"/>
          <w:szCs w:val="32"/>
          <w:highlight w:val="none"/>
          <w:u w:val="single"/>
          <w:lang w:val="en-US" w:eastAsia="zh-CN"/>
        </w:rPr>
        <w:t>八</w:t>
      </w:r>
      <w:r>
        <w:rPr>
          <w:rFonts w:hint="eastAsia" w:ascii="黑体" w:hAnsi="宋体" w:eastAsia="黑体" w:cs="黑体"/>
          <w:b w:val="0"/>
          <w:bCs/>
          <w:i/>
          <w:iCs w:val="0"/>
          <w:color w:val="auto"/>
          <w:sz w:val="32"/>
          <w:szCs w:val="32"/>
          <w:highlight w:val="none"/>
          <w:u w:val="single"/>
        </w:rPr>
        <w:t>、盐城市政府采购事前信用承诺书</w:t>
      </w:r>
    </w:p>
    <w:p w14:paraId="5CA86886">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61818EA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76E8576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419412B4">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21813A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90CF3E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7580F07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F1B7AA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30CF69E">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1C56B8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82E35E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775612E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DBEC35B">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45F600A1">
      <w:pPr>
        <w:pStyle w:val="13"/>
        <w:spacing w:beforeAutospacing="0" w:afterAutospacing="0"/>
        <w:jc w:val="center"/>
        <w:rPr>
          <w:color w:val="auto"/>
          <w:highlight w:val="none"/>
        </w:rPr>
      </w:pPr>
    </w:p>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2"/>
    <w:bookmarkEnd w:id="186"/>
    <w:bookmarkEnd w:id="187"/>
    <w:bookmarkEnd w:id="188"/>
    <w:bookmarkEnd w:id="189"/>
    <w:bookmarkEnd w:id="190"/>
    <w:bookmarkEnd w:id="191"/>
    <w:bookmarkEnd w:id="192"/>
    <w:bookmarkEnd w:id="193"/>
    <w:bookmarkEnd w:id="202"/>
    <w:bookmarkEnd w:id="203"/>
    <w:bookmarkEnd w:id="204"/>
    <w:bookmarkEnd w:id="205"/>
    <w:bookmarkEnd w:id="206"/>
    <w:p w14:paraId="568707AA">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4912972">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74BA2A2">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9B9861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F2F96FB">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1DC471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CA31C33">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E48765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0ED10D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94E235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DC5DEAD">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E8EA91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3AAC41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E82EED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C74EDF6">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569AC94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6B810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8272A3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173122E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2ED970D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1B27D044">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50E519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20D336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3FB8170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FF2CC38">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1014871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3B9F1EF">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AE62FA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5117A947">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0968545F">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8B93CBD">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CC07F25">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8AC3FB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A74755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7085A892">
      <w:pPr>
        <w:pStyle w:val="13"/>
        <w:spacing w:beforeAutospacing="0" w:afterAutospacing="0"/>
        <w:rPr>
          <w:color w:val="auto"/>
          <w:highlight w:val="none"/>
        </w:rPr>
      </w:pPr>
    </w:p>
    <w:sectPr>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7D78546-C1FA-4D62-9FDD-4DE5DA5945ED}"/>
  </w:font>
  <w:font w:name="Arial">
    <w:panose1 w:val="020B0604020202020204"/>
    <w:charset w:val="01"/>
    <w:family w:val="swiss"/>
    <w:pitch w:val="default"/>
    <w:sig w:usb0="E0002EFF" w:usb1="C000785B" w:usb2="00000009" w:usb3="00000000" w:csb0="400001FF" w:csb1="FFFF0000"/>
    <w:embedRegular r:id="rId2" w:fontKey="{B6EC8866-07B2-4CB3-99EA-4589E053AB63}"/>
  </w:font>
  <w:font w:name="黑体">
    <w:panose1 w:val="02010609060101010101"/>
    <w:charset w:val="86"/>
    <w:family w:val="auto"/>
    <w:pitch w:val="default"/>
    <w:sig w:usb0="800002BF" w:usb1="38CF7CFA" w:usb2="00000016" w:usb3="00000000" w:csb0="00040001" w:csb1="00000000"/>
    <w:embedRegular r:id="rId3" w:fontKey="{FE03005F-2358-453E-8590-066E1D460B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embedRegular r:id="rId4" w:fontKey="{A43DEDB4-3416-4DBC-85D9-ACE713839053}"/>
  </w:font>
  <w:font w:name="华文楷体">
    <w:panose1 w:val="02010600040101010101"/>
    <w:charset w:val="86"/>
    <w:family w:val="auto"/>
    <w:pitch w:val="default"/>
    <w:sig w:usb0="00000287" w:usb1="080F0000" w:usb2="00000000" w:usb3="00000000" w:csb0="0004009F" w:csb1="DFD70000"/>
    <w:embedRegular r:id="rId5" w:fontKey="{32BA06FF-A6B8-4BA9-8D0B-42F1A71959C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6" w:fontKey="{BF42E587-BA91-46D9-88B2-C9C44EC367D9}"/>
  </w:font>
  <w:font w:name="华文中宋">
    <w:panose1 w:val="02010600040101010101"/>
    <w:charset w:val="86"/>
    <w:family w:val="auto"/>
    <w:pitch w:val="default"/>
    <w:sig w:usb0="00000287" w:usb1="080F0000" w:usb2="00000000" w:usb3="00000000" w:csb0="0004009F" w:csb1="DFD70000"/>
    <w:embedRegular r:id="rId7" w:fontKey="{185CA54A-E5C1-4C33-8E5C-627AE17B5B4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CF950">
    <w:pPr>
      <w:pStyle w:val="2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1CAE0AB7">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D15EC">
    <w:pPr>
      <w:pStyle w:val="2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1EE44B43">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pPr>
        <w:ind w:left="0" w:firstLine="0"/>
      </w:pPr>
    </w:lvl>
  </w:abstractNum>
  <w:abstractNum w:abstractNumId="1">
    <w:nsid w:val="DDECD3BC"/>
    <w:multiLevelType w:val="singleLevel"/>
    <w:tmpl w:val="DDECD3BC"/>
    <w:lvl w:ilvl="0" w:tentative="0">
      <w:start w:val="6"/>
      <w:numFmt w:val="decimal"/>
      <w:suff w:val="space"/>
      <w:lvlText w:val="%1."/>
      <w:lvlJc w:val="left"/>
      <w:pPr>
        <w:ind w:left="0" w:firstLine="0"/>
      </w:pPr>
    </w:lvl>
  </w:abstractNum>
  <w:abstractNum w:abstractNumId="2">
    <w:nsid w:val="DE759F4B"/>
    <w:multiLevelType w:val="singleLevel"/>
    <w:tmpl w:val="DE759F4B"/>
    <w:lvl w:ilvl="0" w:tentative="0">
      <w:start w:val="2"/>
      <w:numFmt w:val="decimal"/>
      <w:suff w:val="space"/>
      <w:lvlText w:val="%1."/>
      <w:lvlJc w:val="left"/>
      <w:pPr>
        <w:ind w:left="0" w:firstLine="0"/>
      </w:pPr>
    </w:lvl>
  </w:abstractNum>
  <w:abstractNum w:abstractNumId="3">
    <w:nsid w:val="DEABE1DB"/>
    <w:multiLevelType w:val="singleLevel"/>
    <w:tmpl w:val="DEABE1DB"/>
    <w:lvl w:ilvl="0" w:tentative="0">
      <w:start w:val="23"/>
      <w:numFmt w:val="decimal"/>
      <w:suff w:val="space"/>
      <w:lvlText w:val="%1."/>
      <w:lvlJc w:val="left"/>
      <w:pPr>
        <w:ind w:left="0" w:firstLine="0"/>
      </w:pPr>
    </w:lvl>
  </w:abstractNum>
  <w:abstractNum w:abstractNumId="4">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lvlOverride w:ilvl="0">
      <w:startOverride w:val="2"/>
    </w:lvlOverride>
  </w:num>
  <w:num w:numId="4">
    <w:abstractNumId w:val="1"/>
    <w:lvlOverride w:ilvl="0">
      <w:startOverride w:val="6"/>
    </w:lvlOverride>
  </w:num>
  <w:num w:numId="5">
    <w:abstractNumId w:val="0"/>
    <w:lvlOverride w:ilvl="0">
      <w:startOverride w:val="16"/>
    </w:lvlOverride>
  </w:num>
  <w:num w:numId="6">
    <w:abstractNumId w:val="3"/>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YWU3NDNlMjk0NDU4ZTlhNmIyMTIyYjM1ZjVjYzIifQ=="/>
  </w:docVars>
  <w:rsids>
    <w:rsidRoot w:val="00172A27"/>
    <w:rsid w:val="00027397"/>
    <w:rsid w:val="0008206B"/>
    <w:rsid w:val="0008414E"/>
    <w:rsid w:val="000B6FA8"/>
    <w:rsid w:val="000D6064"/>
    <w:rsid w:val="00106EC4"/>
    <w:rsid w:val="00111440"/>
    <w:rsid w:val="00112B63"/>
    <w:rsid w:val="00152010"/>
    <w:rsid w:val="00172A27"/>
    <w:rsid w:val="002B0C85"/>
    <w:rsid w:val="003C54BE"/>
    <w:rsid w:val="004125B1"/>
    <w:rsid w:val="00427F98"/>
    <w:rsid w:val="004529E6"/>
    <w:rsid w:val="004E0F29"/>
    <w:rsid w:val="005257A0"/>
    <w:rsid w:val="00755D43"/>
    <w:rsid w:val="007E3A7B"/>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5C3D17"/>
    <w:rsid w:val="01AE0C97"/>
    <w:rsid w:val="021B6523"/>
    <w:rsid w:val="024315C7"/>
    <w:rsid w:val="02851591"/>
    <w:rsid w:val="02867E41"/>
    <w:rsid w:val="028B748A"/>
    <w:rsid w:val="02BD5381"/>
    <w:rsid w:val="02D505AD"/>
    <w:rsid w:val="02F0175E"/>
    <w:rsid w:val="02F67901"/>
    <w:rsid w:val="034115E7"/>
    <w:rsid w:val="03455F4E"/>
    <w:rsid w:val="034E4AD1"/>
    <w:rsid w:val="037372CA"/>
    <w:rsid w:val="037E0789"/>
    <w:rsid w:val="03912F41"/>
    <w:rsid w:val="03C966CA"/>
    <w:rsid w:val="0402799B"/>
    <w:rsid w:val="04B20349"/>
    <w:rsid w:val="04CF1FA6"/>
    <w:rsid w:val="056E5657"/>
    <w:rsid w:val="058663AA"/>
    <w:rsid w:val="061351B8"/>
    <w:rsid w:val="062C42CE"/>
    <w:rsid w:val="068A6E34"/>
    <w:rsid w:val="077C5CB6"/>
    <w:rsid w:val="0793767A"/>
    <w:rsid w:val="07994E3B"/>
    <w:rsid w:val="07A02A3F"/>
    <w:rsid w:val="07A40F48"/>
    <w:rsid w:val="083420ED"/>
    <w:rsid w:val="0854758E"/>
    <w:rsid w:val="086F5014"/>
    <w:rsid w:val="08992D34"/>
    <w:rsid w:val="09132265"/>
    <w:rsid w:val="095D46A1"/>
    <w:rsid w:val="0A7315F2"/>
    <w:rsid w:val="0AB146AC"/>
    <w:rsid w:val="0ABC363A"/>
    <w:rsid w:val="0AD8294B"/>
    <w:rsid w:val="0B4B3B00"/>
    <w:rsid w:val="0B550CF8"/>
    <w:rsid w:val="0B8A23C1"/>
    <w:rsid w:val="0BAE3813"/>
    <w:rsid w:val="0BB942FA"/>
    <w:rsid w:val="0C6F7B97"/>
    <w:rsid w:val="0CE11D20"/>
    <w:rsid w:val="0D4D2FC1"/>
    <w:rsid w:val="0DDF1EF8"/>
    <w:rsid w:val="0DF06AB6"/>
    <w:rsid w:val="0E0362D5"/>
    <w:rsid w:val="0E0D7668"/>
    <w:rsid w:val="0E415492"/>
    <w:rsid w:val="0E966A8C"/>
    <w:rsid w:val="0E9C09EC"/>
    <w:rsid w:val="0EE61CD2"/>
    <w:rsid w:val="0EEA15F7"/>
    <w:rsid w:val="0F6D24BC"/>
    <w:rsid w:val="0F7D537E"/>
    <w:rsid w:val="10007707"/>
    <w:rsid w:val="10831E63"/>
    <w:rsid w:val="109A0F5B"/>
    <w:rsid w:val="10D16104"/>
    <w:rsid w:val="115F3074"/>
    <w:rsid w:val="11AB711C"/>
    <w:rsid w:val="11E249A1"/>
    <w:rsid w:val="12431559"/>
    <w:rsid w:val="12EF1B96"/>
    <w:rsid w:val="12F015A0"/>
    <w:rsid w:val="132A2A6A"/>
    <w:rsid w:val="137D2B9A"/>
    <w:rsid w:val="14477BA7"/>
    <w:rsid w:val="14EB154F"/>
    <w:rsid w:val="155327C2"/>
    <w:rsid w:val="15BF3E2F"/>
    <w:rsid w:val="169263C8"/>
    <w:rsid w:val="16A61788"/>
    <w:rsid w:val="16BA3E2C"/>
    <w:rsid w:val="16F413C5"/>
    <w:rsid w:val="170F6585"/>
    <w:rsid w:val="17133509"/>
    <w:rsid w:val="17374989"/>
    <w:rsid w:val="17666D47"/>
    <w:rsid w:val="1792502D"/>
    <w:rsid w:val="179B13CB"/>
    <w:rsid w:val="17B62E64"/>
    <w:rsid w:val="186662F2"/>
    <w:rsid w:val="18BC4109"/>
    <w:rsid w:val="19050F9A"/>
    <w:rsid w:val="192C528E"/>
    <w:rsid w:val="192F5D4A"/>
    <w:rsid w:val="193260E4"/>
    <w:rsid w:val="19835197"/>
    <w:rsid w:val="1A4F2C83"/>
    <w:rsid w:val="1A9133CF"/>
    <w:rsid w:val="1AC564D8"/>
    <w:rsid w:val="1AD2708F"/>
    <w:rsid w:val="1B5F5046"/>
    <w:rsid w:val="1B8B7B95"/>
    <w:rsid w:val="1B9509DF"/>
    <w:rsid w:val="1BA002D8"/>
    <w:rsid w:val="1BCA3215"/>
    <w:rsid w:val="1BCC6609"/>
    <w:rsid w:val="1C0025BA"/>
    <w:rsid w:val="1C0A11A4"/>
    <w:rsid w:val="1CAC4347"/>
    <w:rsid w:val="1D1C1092"/>
    <w:rsid w:val="1D605A5A"/>
    <w:rsid w:val="1D854966"/>
    <w:rsid w:val="1DFD1285"/>
    <w:rsid w:val="1E1C7453"/>
    <w:rsid w:val="1E5B61CE"/>
    <w:rsid w:val="1E9F5219"/>
    <w:rsid w:val="1EA043BC"/>
    <w:rsid w:val="1EC70509"/>
    <w:rsid w:val="1EFA3329"/>
    <w:rsid w:val="1F4A0271"/>
    <w:rsid w:val="1FC7762D"/>
    <w:rsid w:val="205730E8"/>
    <w:rsid w:val="20733730"/>
    <w:rsid w:val="20A83FAF"/>
    <w:rsid w:val="20BC2297"/>
    <w:rsid w:val="210A05B0"/>
    <w:rsid w:val="212255FD"/>
    <w:rsid w:val="21230507"/>
    <w:rsid w:val="212D5EEC"/>
    <w:rsid w:val="215025DE"/>
    <w:rsid w:val="21B7196D"/>
    <w:rsid w:val="21CC717D"/>
    <w:rsid w:val="21E870C5"/>
    <w:rsid w:val="21F4671D"/>
    <w:rsid w:val="2228286B"/>
    <w:rsid w:val="223E416B"/>
    <w:rsid w:val="22424AA4"/>
    <w:rsid w:val="228F28EA"/>
    <w:rsid w:val="22F62B8A"/>
    <w:rsid w:val="23092164"/>
    <w:rsid w:val="23254D08"/>
    <w:rsid w:val="23534E2B"/>
    <w:rsid w:val="23ED3D6C"/>
    <w:rsid w:val="242C02D7"/>
    <w:rsid w:val="24533DC2"/>
    <w:rsid w:val="2532334D"/>
    <w:rsid w:val="26667E05"/>
    <w:rsid w:val="26750FF7"/>
    <w:rsid w:val="26D6553E"/>
    <w:rsid w:val="26E9418F"/>
    <w:rsid w:val="27194423"/>
    <w:rsid w:val="27290FC5"/>
    <w:rsid w:val="272F5F5B"/>
    <w:rsid w:val="278022D7"/>
    <w:rsid w:val="27E81EED"/>
    <w:rsid w:val="28A77F49"/>
    <w:rsid w:val="28FC627B"/>
    <w:rsid w:val="28FE41FC"/>
    <w:rsid w:val="29345C52"/>
    <w:rsid w:val="29562FCB"/>
    <w:rsid w:val="298E2D2D"/>
    <w:rsid w:val="2996274E"/>
    <w:rsid w:val="29A35D49"/>
    <w:rsid w:val="2A3D0C33"/>
    <w:rsid w:val="2A4648B7"/>
    <w:rsid w:val="2AFB5241"/>
    <w:rsid w:val="2B005440"/>
    <w:rsid w:val="2B622C2F"/>
    <w:rsid w:val="2C03574A"/>
    <w:rsid w:val="2C117DB2"/>
    <w:rsid w:val="2C7B3B05"/>
    <w:rsid w:val="2CC277F5"/>
    <w:rsid w:val="2CD61BF0"/>
    <w:rsid w:val="2D67525C"/>
    <w:rsid w:val="2D784F24"/>
    <w:rsid w:val="2DAC25A2"/>
    <w:rsid w:val="2DE81100"/>
    <w:rsid w:val="2E5E7AF7"/>
    <w:rsid w:val="2E717C8A"/>
    <w:rsid w:val="2E8702E5"/>
    <w:rsid w:val="2EB711FE"/>
    <w:rsid w:val="2ED51684"/>
    <w:rsid w:val="2EE73822"/>
    <w:rsid w:val="2EF838BD"/>
    <w:rsid w:val="2F1877C3"/>
    <w:rsid w:val="2F614CD4"/>
    <w:rsid w:val="2FAD4FD9"/>
    <w:rsid w:val="2FB346FB"/>
    <w:rsid w:val="2FFA5778"/>
    <w:rsid w:val="302B432A"/>
    <w:rsid w:val="30495C84"/>
    <w:rsid w:val="30626EBE"/>
    <w:rsid w:val="30650005"/>
    <w:rsid w:val="310333AD"/>
    <w:rsid w:val="314A7875"/>
    <w:rsid w:val="31522189"/>
    <w:rsid w:val="316E7E9D"/>
    <w:rsid w:val="318A49A8"/>
    <w:rsid w:val="32990C1B"/>
    <w:rsid w:val="329E6CD8"/>
    <w:rsid w:val="32C50BAF"/>
    <w:rsid w:val="33440753"/>
    <w:rsid w:val="33773E42"/>
    <w:rsid w:val="33A31D51"/>
    <w:rsid w:val="33C1395B"/>
    <w:rsid w:val="34A9783B"/>
    <w:rsid w:val="34E14EA2"/>
    <w:rsid w:val="34E346A0"/>
    <w:rsid w:val="3580513D"/>
    <w:rsid w:val="35944047"/>
    <w:rsid w:val="359B1151"/>
    <w:rsid w:val="35AD49A2"/>
    <w:rsid w:val="36156201"/>
    <w:rsid w:val="36172BC3"/>
    <w:rsid w:val="3646534B"/>
    <w:rsid w:val="36CC7C95"/>
    <w:rsid w:val="36CF07E3"/>
    <w:rsid w:val="36EB650A"/>
    <w:rsid w:val="36F62AE0"/>
    <w:rsid w:val="37150039"/>
    <w:rsid w:val="37216E07"/>
    <w:rsid w:val="378133A9"/>
    <w:rsid w:val="383A233E"/>
    <w:rsid w:val="38BA2217"/>
    <w:rsid w:val="38FB5923"/>
    <w:rsid w:val="39101F1B"/>
    <w:rsid w:val="392D7EB3"/>
    <w:rsid w:val="39720FC7"/>
    <w:rsid w:val="39B60304"/>
    <w:rsid w:val="39CD52E9"/>
    <w:rsid w:val="3A64388F"/>
    <w:rsid w:val="3A685AA2"/>
    <w:rsid w:val="3B0B043D"/>
    <w:rsid w:val="3BD50F5A"/>
    <w:rsid w:val="3BDF2457"/>
    <w:rsid w:val="3C8E39AA"/>
    <w:rsid w:val="3CA53635"/>
    <w:rsid w:val="3D23372C"/>
    <w:rsid w:val="3D2F043B"/>
    <w:rsid w:val="3D9646D4"/>
    <w:rsid w:val="3DC6320C"/>
    <w:rsid w:val="3DDA21FA"/>
    <w:rsid w:val="3DF80C94"/>
    <w:rsid w:val="3E064F5A"/>
    <w:rsid w:val="3E161B6B"/>
    <w:rsid w:val="3E7F5998"/>
    <w:rsid w:val="3E917554"/>
    <w:rsid w:val="3F0056DB"/>
    <w:rsid w:val="3F1A3023"/>
    <w:rsid w:val="3F243A9D"/>
    <w:rsid w:val="3FDA7B0E"/>
    <w:rsid w:val="401D2E8B"/>
    <w:rsid w:val="40350295"/>
    <w:rsid w:val="406E1D8D"/>
    <w:rsid w:val="40DA0D7C"/>
    <w:rsid w:val="42053C57"/>
    <w:rsid w:val="42214BD9"/>
    <w:rsid w:val="42324DFA"/>
    <w:rsid w:val="425F30ED"/>
    <w:rsid w:val="42FA74B4"/>
    <w:rsid w:val="431353F3"/>
    <w:rsid w:val="43455446"/>
    <w:rsid w:val="43692E36"/>
    <w:rsid w:val="44444E8A"/>
    <w:rsid w:val="44DA072F"/>
    <w:rsid w:val="454D0F8E"/>
    <w:rsid w:val="45A932D5"/>
    <w:rsid w:val="45F3589E"/>
    <w:rsid w:val="45FC0A54"/>
    <w:rsid w:val="461D469A"/>
    <w:rsid w:val="466976E6"/>
    <w:rsid w:val="46DF6E0B"/>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133808"/>
    <w:rsid w:val="4B232339"/>
    <w:rsid w:val="4B816722"/>
    <w:rsid w:val="4BB54A49"/>
    <w:rsid w:val="4C5A2B74"/>
    <w:rsid w:val="4C7B3413"/>
    <w:rsid w:val="4CCC1C2F"/>
    <w:rsid w:val="4D0227B8"/>
    <w:rsid w:val="4D2D20D9"/>
    <w:rsid w:val="4D4B1038"/>
    <w:rsid w:val="4DA074F7"/>
    <w:rsid w:val="4DA33F07"/>
    <w:rsid w:val="4DDE52C0"/>
    <w:rsid w:val="4DFB00F6"/>
    <w:rsid w:val="4E400F27"/>
    <w:rsid w:val="4E4810D8"/>
    <w:rsid w:val="4E8932F2"/>
    <w:rsid w:val="4F780A92"/>
    <w:rsid w:val="4FAB2483"/>
    <w:rsid w:val="50566671"/>
    <w:rsid w:val="5083499D"/>
    <w:rsid w:val="508605D9"/>
    <w:rsid w:val="50A1397F"/>
    <w:rsid w:val="511F5AA4"/>
    <w:rsid w:val="51C75DFE"/>
    <w:rsid w:val="52496610"/>
    <w:rsid w:val="52741FCB"/>
    <w:rsid w:val="52D06B10"/>
    <w:rsid w:val="53401A68"/>
    <w:rsid w:val="53536515"/>
    <w:rsid w:val="536757CC"/>
    <w:rsid w:val="536B21BA"/>
    <w:rsid w:val="539B6487"/>
    <w:rsid w:val="53A862CC"/>
    <w:rsid w:val="542A0FDA"/>
    <w:rsid w:val="544D7D8B"/>
    <w:rsid w:val="54604111"/>
    <w:rsid w:val="54E877FB"/>
    <w:rsid w:val="54ED53D0"/>
    <w:rsid w:val="55091CCC"/>
    <w:rsid w:val="5559396B"/>
    <w:rsid w:val="55ED4F6B"/>
    <w:rsid w:val="56307253"/>
    <w:rsid w:val="56453199"/>
    <w:rsid w:val="564B4B24"/>
    <w:rsid w:val="56C836F9"/>
    <w:rsid w:val="56EF7016"/>
    <w:rsid w:val="5797379E"/>
    <w:rsid w:val="582F6DAB"/>
    <w:rsid w:val="58AD45AF"/>
    <w:rsid w:val="58D4718C"/>
    <w:rsid w:val="590C78EE"/>
    <w:rsid w:val="59346858"/>
    <w:rsid w:val="59581771"/>
    <w:rsid w:val="59A82CA5"/>
    <w:rsid w:val="5A1804F3"/>
    <w:rsid w:val="5A981007"/>
    <w:rsid w:val="5AB67D0C"/>
    <w:rsid w:val="5AD536B4"/>
    <w:rsid w:val="5AEA4CCC"/>
    <w:rsid w:val="5AF95203"/>
    <w:rsid w:val="5B031B11"/>
    <w:rsid w:val="5B8C6DA3"/>
    <w:rsid w:val="5B96574B"/>
    <w:rsid w:val="5C1E200D"/>
    <w:rsid w:val="5C450257"/>
    <w:rsid w:val="5C5A652B"/>
    <w:rsid w:val="5D064006"/>
    <w:rsid w:val="5D320FC0"/>
    <w:rsid w:val="5D797461"/>
    <w:rsid w:val="5D7F6E82"/>
    <w:rsid w:val="5DAF116F"/>
    <w:rsid w:val="5DE138D8"/>
    <w:rsid w:val="5E1921ED"/>
    <w:rsid w:val="5EDB106D"/>
    <w:rsid w:val="5EE035AA"/>
    <w:rsid w:val="5F4750E0"/>
    <w:rsid w:val="5F476F94"/>
    <w:rsid w:val="5F7D5E8E"/>
    <w:rsid w:val="5F7F522A"/>
    <w:rsid w:val="5FC218E8"/>
    <w:rsid w:val="601337BB"/>
    <w:rsid w:val="604054E3"/>
    <w:rsid w:val="606A165C"/>
    <w:rsid w:val="609B5ECC"/>
    <w:rsid w:val="60A07495"/>
    <w:rsid w:val="60E3559A"/>
    <w:rsid w:val="611565F6"/>
    <w:rsid w:val="61730705"/>
    <w:rsid w:val="61A25FAC"/>
    <w:rsid w:val="61F83FEE"/>
    <w:rsid w:val="62061760"/>
    <w:rsid w:val="62281F6A"/>
    <w:rsid w:val="622C715E"/>
    <w:rsid w:val="6285413C"/>
    <w:rsid w:val="62A87E16"/>
    <w:rsid w:val="62CA561A"/>
    <w:rsid w:val="6313315F"/>
    <w:rsid w:val="632F68AE"/>
    <w:rsid w:val="63531AF3"/>
    <w:rsid w:val="63CD6C1F"/>
    <w:rsid w:val="643A2D32"/>
    <w:rsid w:val="6468334B"/>
    <w:rsid w:val="64A56430"/>
    <w:rsid w:val="65055217"/>
    <w:rsid w:val="659622AD"/>
    <w:rsid w:val="65A73073"/>
    <w:rsid w:val="65BB2793"/>
    <w:rsid w:val="65FF1B98"/>
    <w:rsid w:val="662B5A52"/>
    <w:rsid w:val="664F5C5B"/>
    <w:rsid w:val="667027CF"/>
    <w:rsid w:val="6688694C"/>
    <w:rsid w:val="67112E9A"/>
    <w:rsid w:val="67A410D5"/>
    <w:rsid w:val="67C9169A"/>
    <w:rsid w:val="68082FE9"/>
    <w:rsid w:val="68245589"/>
    <w:rsid w:val="684D52B8"/>
    <w:rsid w:val="68777DD2"/>
    <w:rsid w:val="68B55B59"/>
    <w:rsid w:val="69201173"/>
    <w:rsid w:val="693F0DD7"/>
    <w:rsid w:val="69456428"/>
    <w:rsid w:val="69862D65"/>
    <w:rsid w:val="69983CE0"/>
    <w:rsid w:val="6A0A770C"/>
    <w:rsid w:val="6A1C1694"/>
    <w:rsid w:val="6A751DB0"/>
    <w:rsid w:val="6AB95533"/>
    <w:rsid w:val="6B037E0E"/>
    <w:rsid w:val="6BDE41BB"/>
    <w:rsid w:val="6C5462A8"/>
    <w:rsid w:val="6C917FD7"/>
    <w:rsid w:val="6CC10EBE"/>
    <w:rsid w:val="6D213317"/>
    <w:rsid w:val="6D3769B4"/>
    <w:rsid w:val="6D572E7F"/>
    <w:rsid w:val="6D865F2E"/>
    <w:rsid w:val="6D8B36BB"/>
    <w:rsid w:val="6DB52E48"/>
    <w:rsid w:val="6E1F5E9D"/>
    <w:rsid w:val="6E3336F6"/>
    <w:rsid w:val="6E3A2CD6"/>
    <w:rsid w:val="6F80296B"/>
    <w:rsid w:val="6FA56C7C"/>
    <w:rsid w:val="6FCC50EE"/>
    <w:rsid w:val="70741DD0"/>
    <w:rsid w:val="70FE1717"/>
    <w:rsid w:val="71BB7860"/>
    <w:rsid w:val="71DE12D2"/>
    <w:rsid w:val="72440385"/>
    <w:rsid w:val="728C305E"/>
    <w:rsid w:val="73412411"/>
    <w:rsid w:val="73761484"/>
    <w:rsid w:val="743F3C99"/>
    <w:rsid w:val="74835482"/>
    <w:rsid w:val="74877DC7"/>
    <w:rsid w:val="74A81B9D"/>
    <w:rsid w:val="755802CB"/>
    <w:rsid w:val="75890D8F"/>
    <w:rsid w:val="75B043EA"/>
    <w:rsid w:val="75CD3BF1"/>
    <w:rsid w:val="761E70A4"/>
    <w:rsid w:val="76D90F68"/>
    <w:rsid w:val="7706409E"/>
    <w:rsid w:val="7760669E"/>
    <w:rsid w:val="77C1540B"/>
    <w:rsid w:val="783E7320"/>
    <w:rsid w:val="78646D02"/>
    <w:rsid w:val="7888677D"/>
    <w:rsid w:val="78CB19C0"/>
    <w:rsid w:val="78F35EFE"/>
    <w:rsid w:val="78FF5669"/>
    <w:rsid w:val="7918780F"/>
    <w:rsid w:val="79193C78"/>
    <w:rsid w:val="793275BA"/>
    <w:rsid w:val="79366D92"/>
    <w:rsid w:val="79A724F1"/>
    <w:rsid w:val="79B56B48"/>
    <w:rsid w:val="7A4B7878"/>
    <w:rsid w:val="7A6D100D"/>
    <w:rsid w:val="7AE2543A"/>
    <w:rsid w:val="7BAF00FE"/>
    <w:rsid w:val="7BC736D0"/>
    <w:rsid w:val="7C5238E1"/>
    <w:rsid w:val="7C5F16F8"/>
    <w:rsid w:val="7C947A56"/>
    <w:rsid w:val="7C952BC1"/>
    <w:rsid w:val="7C9D3E10"/>
    <w:rsid w:val="7CAF2E48"/>
    <w:rsid w:val="7CB122FF"/>
    <w:rsid w:val="7CFC55FB"/>
    <w:rsid w:val="7D340D88"/>
    <w:rsid w:val="7D796C4C"/>
    <w:rsid w:val="7D8B2F11"/>
    <w:rsid w:val="7DBA67DE"/>
    <w:rsid w:val="7DD700A8"/>
    <w:rsid w:val="7DEE3421"/>
    <w:rsid w:val="7DF53ACA"/>
    <w:rsid w:val="7E53398F"/>
    <w:rsid w:val="7F0E4C61"/>
    <w:rsid w:val="7F2257ED"/>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spacing w:line="360" w:lineRule="auto"/>
      <w:jc w:val="center"/>
      <w:outlineLvl w:val="0"/>
    </w:pPr>
    <w:rPr>
      <w:rFonts w:ascii="宋体" w:hAnsi="宋体" w:eastAsia="宋体" w:cs="Times New Roman"/>
      <w:b/>
      <w:sz w:val="24"/>
      <w:szCs w:val="2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5"/>
    <w:unhideWhenUsed/>
    <w:qFormat/>
    <w:uiPriority w:val="9"/>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qFormat/>
    <w:uiPriority w:val="0"/>
    <w:pPr>
      <w:jc w:val="left"/>
    </w:pPr>
  </w:style>
  <w:style w:type="paragraph" w:styleId="7">
    <w:name w:val="Body Text"/>
    <w:basedOn w:val="1"/>
    <w:unhideWhenUsed/>
    <w:qFormat/>
    <w:uiPriority w:val="0"/>
    <w:pPr>
      <w:spacing w:after="120"/>
    </w:pPr>
    <w:rPr>
      <w:rFonts w:ascii="Calibri" w:hAnsi="Calibri"/>
      <w:kern w:val="2"/>
      <w:szCs w:val="22"/>
    </w:rPr>
  </w:style>
  <w:style w:type="paragraph" w:styleId="8">
    <w:name w:val="Body Text Indent"/>
    <w:basedOn w:val="1"/>
    <w:next w:val="1"/>
    <w:qFormat/>
    <w:uiPriority w:val="0"/>
    <w:pPr>
      <w:spacing w:after="120"/>
      <w:ind w:left="420" w:leftChars="200"/>
    </w:pPr>
  </w:style>
  <w:style w:type="paragraph" w:styleId="9">
    <w:name w:val="Block Text"/>
    <w:basedOn w:val="1"/>
    <w:unhideWhenUsed/>
    <w:qFormat/>
    <w:uiPriority w:val="99"/>
    <w:pPr>
      <w:spacing w:after="120"/>
      <w:ind w:left="1440" w:leftChars="700" w:right="1440" w:rightChars="700"/>
    </w:pPr>
  </w:style>
  <w:style w:type="paragraph" w:styleId="10">
    <w:name w:val="Plain Text"/>
    <w:basedOn w:val="1"/>
    <w:unhideWhenUsed/>
    <w:qFormat/>
    <w:uiPriority w:val="0"/>
    <w:rPr>
      <w:rFonts w:ascii="宋体" w:hAnsi="Courier New" w:cs="Courier New"/>
      <w:kern w:val="2"/>
      <w:szCs w:val="21"/>
    </w:rPr>
  </w:style>
  <w:style w:type="paragraph" w:styleId="11">
    <w:name w:val="footer"/>
    <w:basedOn w:val="1"/>
    <w:link w:val="21"/>
    <w:qFormat/>
    <w:uiPriority w:val="0"/>
    <w:pPr>
      <w:tabs>
        <w:tab w:val="center" w:pos="4153"/>
        <w:tab w:val="right" w:pos="8306"/>
      </w:tabs>
      <w:snapToGrid w:val="0"/>
      <w:jc w:val="left"/>
    </w:pPr>
    <w:rPr>
      <w:sz w:val="18"/>
      <w:szCs w:val="18"/>
    </w:rPr>
  </w:style>
  <w:style w:type="paragraph" w:styleId="12">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Heading3"/>
    <w:basedOn w:val="1"/>
    <w:next w:val="1"/>
    <w:qFormat/>
    <w:uiPriority w:val="0"/>
    <w:pPr>
      <w:spacing w:before="100" w:beforeAutospacing="1" w:after="100" w:afterAutospacing="1" w:line="600" w:lineRule="exact"/>
      <w:jc w:val="left"/>
      <w:textAlignment w:val="baseline"/>
    </w:pPr>
    <w:rPr>
      <w:rFonts w:ascii="宋体" w:hAnsi="宋体"/>
      <w:b/>
      <w:kern w:val="0"/>
      <w:sz w:val="27"/>
      <w:szCs w:val="27"/>
    </w:rPr>
  </w:style>
  <w:style w:type="paragraph" w:customStyle="1" w:styleId="18">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customStyle="1" w:styleId="19">
    <w:name w:val="正文1"/>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character" w:customStyle="1" w:styleId="20">
    <w:name w:val="页眉 Char"/>
    <w:basedOn w:val="16"/>
    <w:link w:val="12"/>
    <w:qFormat/>
    <w:uiPriority w:val="0"/>
    <w:rPr>
      <w:rFonts w:asciiTheme="minorHAnsi" w:hAnsiTheme="minorHAnsi" w:eastAsiaTheme="minorEastAsia" w:cstheme="minorBidi"/>
      <w:kern w:val="2"/>
      <w:sz w:val="18"/>
      <w:szCs w:val="18"/>
    </w:rPr>
  </w:style>
  <w:style w:type="character" w:customStyle="1" w:styleId="21">
    <w:name w:val="页脚 Char"/>
    <w:basedOn w:val="16"/>
    <w:link w:val="11"/>
    <w:qFormat/>
    <w:uiPriority w:val="0"/>
    <w:rPr>
      <w:rFonts w:asciiTheme="minorHAnsi" w:hAnsiTheme="minorHAnsi" w:eastAsiaTheme="minorEastAsia" w:cstheme="minorBidi"/>
      <w:kern w:val="2"/>
      <w:sz w:val="18"/>
      <w:szCs w:val="18"/>
    </w:rPr>
  </w:style>
  <w:style w:type="paragraph" w:customStyle="1" w:styleId="2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3">
    <w:name w:val="页脚1"/>
    <w:basedOn w:val="1"/>
    <w:unhideWhenUsed/>
    <w:qFormat/>
    <w:uiPriority w:val="99"/>
    <w:pPr>
      <w:tabs>
        <w:tab w:val="center" w:pos="4153"/>
        <w:tab w:val="right" w:pos="8306"/>
      </w:tabs>
      <w:jc w:val="left"/>
    </w:pPr>
    <w:rPr>
      <w:sz w:val="18"/>
      <w:szCs w:val="18"/>
    </w:rPr>
  </w:style>
  <w:style w:type="paragraph" w:customStyle="1" w:styleId="24">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Char"/>
    <w:basedOn w:val="1"/>
    <w:qFormat/>
    <w:uiPriority w:val="0"/>
    <w:pPr>
      <w:tabs>
        <w:tab w:val="left" w:pos="360"/>
      </w:tabs>
      <w:ind w:firstLine="200"/>
    </w:pPr>
    <w:rPr>
      <w:sz w:val="28"/>
      <w:szCs w:val="30"/>
    </w:rPr>
  </w:style>
  <w:style w:type="table" w:customStyle="1" w:styleId="28">
    <w:name w:val="网格型1"/>
    <w:basedOn w:val="29"/>
    <w:qFormat/>
    <w:uiPriority w:val="0"/>
    <w:pPr>
      <w:widowControl w:val="0"/>
      <w:jc w:val="both"/>
    </w:pPr>
  </w:style>
  <w:style w:type="table" w:customStyle="1" w:styleId="29">
    <w:name w:val="普通表格1"/>
    <w:unhideWhenUsed/>
    <w:qFormat/>
    <w:uiPriority w:val="99"/>
  </w:style>
  <w:style w:type="paragraph" w:styleId="30">
    <w:name w:val="List Paragraph"/>
    <w:basedOn w:val="1"/>
    <w:qFormat/>
    <w:uiPriority w:val="34"/>
    <w:pPr>
      <w:ind w:firstLine="420" w:firstLineChars="200"/>
    </w:pPr>
  </w:style>
  <w:style w:type="character" w:customStyle="1" w:styleId="31">
    <w:name w:val="font01"/>
    <w:basedOn w:val="16"/>
    <w:qFormat/>
    <w:uiPriority w:val="0"/>
    <w:rPr>
      <w:rFonts w:hint="eastAsia" w:ascii="宋体" w:hAnsi="宋体" w:eastAsia="宋体" w:cs="宋体"/>
      <w:color w:val="000000"/>
      <w:sz w:val="24"/>
      <w:szCs w:val="24"/>
      <w:u w:val="none"/>
    </w:rPr>
  </w:style>
  <w:style w:type="paragraph" w:customStyle="1" w:styleId="32">
    <w:name w:val="普通(网站)1"/>
    <w:basedOn w:val="1"/>
    <w:qFormat/>
    <w:uiPriority w:val="0"/>
    <w:pPr>
      <w:spacing w:beforeAutospacing="1" w:afterAutospacing="1"/>
      <w:jc w:val="left"/>
    </w:pPr>
    <w:rPr>
      <w:rFonts w:cs="Times New Roman"/>
      <w:sz w:val="24"/>
    </w:rPr>
  </w:style>
  <w:style w:type="paragraph" w:customStyle="1" w:styleId="33">
    <w:name w:val="Table Paragraph"/>
    <w:basedOn w:val="1"/>
    <w:qFormat/>
    <w:uiPriority w:val="1"/>
    <w:rPr>
      <w:lang w:val="zh-CN" w:bidi="zh-CN"/>
    </w:rPr>
  </w:style>
  <w:style w:type="character" w:customStyle="1" w:styleId="34">
    <w:name w:val="font71"/>
    <w:basedOn w:val="16"/>
    <w:qFormat/>
    <w:uiPriority w:val="0"/>
    <w:rPr>
      <w:rFonts w:hint="default" w:ascii="Times New Roman" w:hAnsi="Times New Roman" w:cs="Times New Roman"/>
      <w:color w:val="000000"/>
      <w:sz w:val="20"/>
      <w:szCs w:val="20"/>
      <w:u w:val="none"/>
    </w:rPr>
  </w:style>
  <w:style w:type="character" w:customStyle="1" w:styleId="35">
    <w:name w:val="font51"/>
    <w:basedOn w:val="16"/>
    <w:qFormat/>
    <w:uiPriority w:val="0"/>
    <w:rPr>
      <w:rFonts w:hint="eastAsia" w:ascii="宋体" w:hAnsi="宋体" w:eastAsia="宋体" w:cs="宋体"/>
      <w:color w:val="000000"/>
      <w:sz w:val="20"/>
      <w:szCs w:val="20"/>
      <w:u w:val="none"/>
    </w:rPr>
  </w:style>
  <w:style w:type="character" w:customStyle="1" w:styleId="36">
    <w:name w:val="font41"/>
    <w:basedOn w:val="16"/>
    <w:qFormat/>
    <w:uiPriority w:val="0"/>
    <w:rPr>
      <w:rFonts w:hint="default" w:ascii="Times New Roman" w:hAnsi="Times New Roman" w:cs="Times New Roman"/>
      <w:color w:val="000000"/>
      <w:sz w:val="20"/>
      <w:szCs w:val="20"/>
      <w:u w:val="none"/>
    </w:rPr>
  </w:style>
  <w:style w:type="character" w:customStyle="1" w:styleId="37">
    <w:name w:val="font31"/>
    <w:basedOn w:val="16"/>
    <w:qFormat/>
    <w:uiPriority w:val="0"/>
    <w:rPr>
      <w:rFonts w:hint="eastAsia" w:ascii="宋体" w:hAnsi="宋体" w:eastAsia="宋体" w:cs="宋体"/>
      <w:color w:val="000000"/>
      <w:sz w:val="20"/>
      <w:szCs w:val="20"/>
      <w:u w:val="none"/>
    </w:rPr>
  </w:style>
  <w:style w:type="paragraph" w:customStyle="1" w:styleId="38">
    <w:name w:val="表格"/>
    <w:basedOn w:val="1"/>
    <w:qFormat/>
    <w:uiPriority w:val="0"/>
    <w:pPr>
      <w:spacing w:line="240" w:lineRule="auto"/>
      <w:ind w:firstLine="0" w:firstLineChars="0"/>
      <w:jc w:val="center"/>
    </w:pPr>
    <w:rPr>
      <w:sz w:val="24"/>
    </w:rPr>
  </w:style>
  <w:style w:type="character" w:customStyle="1" w:styleId="39">
    <w:name w:val="font11"/>
    <w:basedOn w:val="16"/>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81</Pages>
  <Words>19610</Words>
  <Characters>20810</Characters>
  <Lines>183</Lines>
  <Paragraphs>51</Paragraphs>
  <TotalTime>46</TotalTime>
  <ScaleCrop>false</ScaleCrop>
  <LinksUpToDate>false</LinksUpToDate>
  <CharactersWithSpaces>21339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封印</cp:lastModifiedBy>
  <cp:lastPrinted>2025-07-02T00:59:00Z</cp:lastPrinted>
  <dcterms:modified xsi:type="dcterms:W3CDTF">2025-11-13T01:25:56Z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B08CA6C4287844C38F750801593D15BB_13</vt:lpwstr>
  </property>
  <property fmtid="{D5CDD505-2E9C-101B-9397-08002B2CF9AE}" pid="4" name="KSOTemplateDocerSaveRecord">
    <vt:lpwstr>eyJoZGlkIjoiZGUzZGNiN2JiMzk0N2Q4YjQzNWNmMWE1YWVlNWMwMjAiLCJ1c2VySWQiOiI0NTEzNDM5MTQifQ==</vt:lpwstr>
  </property>
</Properties>
</file>